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6"/>
        <w:ind w:left="0" w:leftChars="0"/>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扬州市生态科技新城</w:t>
      </w:r>
      <w:r>
        <w:rPr>
          <w:rFonts w:hint="eastAsia" w:ascii="仿宋_GB2312" w:hAnsi="宋体" w:eastAsia="仿宋_GB2312"/>
          <w:b/>
          <w:spacing w:val="28"/>
          <w:sz w:val="52"/>
          <w:szCs w:val="48"/>
          <w:lang w:val="en-US" w:eastAsia="zh-CN"/>
        </w:rPr>
        <w:t>2023年</w:t>
      </w:r>
      <w:r>
        <w:rPr>
          <w:rFonts w:hint="eastAsia" w:ascii="仿宋_GB2312" w:hAnsi="宋体" w:eastAsia="仿宋_GB2312"/>
          <w:b/>
          <w:spacing w:val="28"/>
          <w:sz w:val="52"/>
          <w:szCs w:val="48"/>
        </w:rPr>
        <w:t>污水处理提质增效工程</w:t>
      </w:r>
    </w:p>
    <w:p>
      <w:pPr>
        <w:pStyle w:val="6"/>
        <w:ind w:left="0" w:leftChars="0"/>
        <w:jc w:val="center"/>
        <w:rPr>
          <w:rFonts w:ascii="仿宋_GB2312" w:hAnsi="宋体" w:eastAsia="仿宋_GB2312"/>
          <w:b/>
          <w:spacing w:val="28"/>
          <w:sz w:val="52"/>
          <w:szCs w:val="48"/>
        </w:rPr>
      </w:pPr>
      <w:r>
        <w:rPr>
          <w:rFonts w:hint="eastAsia" w:ascii="仿宋_GB2312" w:hAnsi="宋体" w:eastAsia="仿宋_GB2312"/>
          <w:b/>
          <w:color w:val="FF0000"/>
          <w:spacing w:val="28"/>
          <w:sz w:val="52"/>
          <w:szCs w:val="48"/>
        </w:rPr>
        <w:t>PE实壁管采购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6"/>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w:t>
      </w:r>
      <w:r>
        <w:rPr>
          <w:rFonts w:hint="eastAsia" w:ascii="仿宋_GB2312" w:hAnsi="宋体" w:eastAsia="仿宋_GB2312"/>
          <w:b/>
          <w:bCs/>
          <w:snapToGrid w:val="0"/>
          <w:color w:val="FF0000"/>
          <w:sz w:val="30"/>
          <w:u w:val="single"/>
          <w:lang w:val="en-US" w:eastAsia="zh-CN"/>
        </w:rPr>
        <w:t xml:space="preserve"> 2023  </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  09  </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28  </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6"/>
        <w:ind w:left="1260"/>
      </w:pPr>
    </w:p>
    <w:p/>
    <w:p>
      <w:pPr>
        <w:pStyle w:val="6"/>
        <w:ind w:left="1260"/>
      </w:pPr>
    </w:p>
    <w:p/>
    <w:p>
      <w:pPr>
        <w:pStyle w:val="6"/>
        <w:ind w:left="1260"/>
      </w:pPr>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扬州市生态科技新城</w:t>
            </w:r>
            <w:r>
              <w:rPr>
                <w:rFonts w:hint="eastAsia" w:ascii="宋体" w:hAnsi="宋体"/>
                <w:szCs w:val="21"/>
                <w:lang w:val="en-US" w:eastAsia="zh-CN"/>
              </w:rPr>
              <w:t>2023年</w:t>
            </w:r>
            <w:r>
              <w:rPr>
                <w:rFonts w:hint="eastAsia" w:ascii="宋体" w:hAnsi="宋体"/>
                <w:szCs w:val="21"/>
              </w:rPr>
              <w:t>污水处理提质增效工程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FF0000"/>
                <w:szCs w:val="21"/>
                <w:lang w:val="en-US" w:eastAsia="zh-CN"/>
              </w:rPr>
            </w:pPr>
            <w:r>
              <w:rPr>
                <w:rFonts w:hint="eastAsia" w:ascii="宋体" w:hAnsi="宋体"/>
                <w:color w:val="FF0000"/>
                <w:szCs w:val="21"/>
                <w:lang w:val="en-US" w:eastAsia="zh-CN"/>
              </w:rPr>
              <w:t>库内招标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color w:val="FF0000"/>
                <w:szCs w:val="21"/>
              </w:rPr>
              <w:t>PE实壁管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Cs w:val="21"/>
                <w:lang w:val="en-US" w:eastAsia="zh-CN"/>
              </w:rPr>
            </w:pPr>
            <w:r>
              <w:rPr>
                <w:rFonts w:hint="eastAsia" w:ascii="宋体" w:hAnsi="宋体"/>
                <w:color w:val="FF0000"/>
                <w:szCs w:val="21"/>
                <w:lang w:val="en-US" w:eastAsia="zh-CN"/>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olor w:val="FF0000"/>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接甲方通知后15天内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 xml:space="preserve"> 09 </w:t>
            </w:r>
            <w:r>
              <w:rPr>
                <w:rFonts w:ascii="宋体" w:hAnsi="宋体"/>
                <w:color w:val="FF0000"/>
                <w:szCs w:val="21"/>
              </w:rPr>
              <w:t>月</w:t>
            </w:r>
            <w:r>
              <w:rPr>
                <w:rFonts w:hint="eastAsia" w:ascii="宋体" w:hAnsi="宋体"/>
                <w:color w:val="FF0000"/>
                <w:szCs w:val="21"/>
                <w:lang w:val="en-US" w:eastAsia="zh-CN"/>
              </w:rPr>
              <w:t xml:space="preserve"> 28 </w:t>
            </w:r>
            <w:r>
              <w:rPr>
                <w:rFonts w:ascii="宋体" w:hAnsi="宋体"/>
                <w:color w:val="FF0000"/>
                <w:szCs w:val="21"/>
              </w:rPr>
              <w:t>日至</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 xml:space="preserve">年 </w:t>
            </w:r>
            <w:r>
              <w:rPr>
                <w:rFonts w:hint="eastAsia" w:ascii="宋体" w:hAnsi="宋体"/>
                <w:color w:val="FF0000"/>
                <w:szCs w:val="21"/>
                <w:lang w:val="en-US" w:eastAsia="zh-CN"/>
              </w:rPr>
              <w:t xml:space="preserve">09 </w:t>
            </w:r>
            <w:r>
              <w:rPr>
                <w:rFonts w:hint="eastAsia" w:ascii="宋体" w:hAnsi="宋体"/>
                <w:color w:val="FF0000"/>
                <w:szCs w:val="21"/>
              </w:rPr>
              <w:t>月</w:t>
            </w:r>
            <w:r>
              <w:rPr>
                <w:rFonts w:hint="eastAsia" w:ascii="宋体" w:hAnsi="宋体"/>
                <w:color w:val="FF0000"/>
                <w:szCs w:val="21"/>
                <w:lang w:val="en-US" w:eastAsia="zh-CN"/>
              </w:rPr>
              <w:t xml:space="preserve"> 30 </w:t>
            </w:r>
            <w:r>
              <w:rPr>
                <w:rFonts w:hint="eastAsia" w:ascii="宋体" w:hAnsi="宋体"/>
                <w:color w:val="FF0000"/>
                <w:szCs w:val="21"/>
              </w:rPr>
              <w:t>日</w:t>
            </w:r>
            <w:r>
              <w:rPr>
                <w:rFonts w:hint="eastAsia" w:ascii="宋体" w:hAnsi="宋体"/>
                <w:szCs w:val="21"/>
              </w:rPr>
              <w:t>下午</w:t>
            </w:r>
            <w:r>
              <w:rPr>
                <w:rFonts w:hint="eastAsia" w:ascii="宋体" w:hAnsi="宋体"/>
                <w:szCs w:val="21"/>
                <w:lang w:val="en-US" w:eastAsia="zh-CN"/>
              </w:rPr>
              <w:t xml:space="preserve">16 </w:t>
            </w:r>
            <w:r>
              <w:rPr>
                <w:rFonts w:hint="eastAsia" w:ascii="宋体" w:hAnsi="宋体"/>
                <w:szCs w:val="21"/>
              </w:rPr>
              <w:t>时</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w:t>
            </w:r>
            <w:r>
              <w:rPr>
                <w:rFonts w:hint="eastAsia" w:ascii="宋体" w:hAnsi="宋体"/>
                <w:szCs w:val="21"/>
              </w:rPr>
              <w:t>扬州市立新路14号扬州市上善建设工程有限公司 工程技术部</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6"/>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pPr>
              <w:adjustRightInd w:val="0"/>
              <w:spacing w:line="380" w:lineRule="exact"/>
              <w:rPr>
                <w:rFonts w:ascii="宋体" w:hAnsi="宋体"/>
                <w:szCs w:val="21"/>
              </w:rPr>
            </w:pPr>
            <w:r>
              <w:rPr>
                <w:rFonts w:hint="eastAsia" w:ascii="宋体" w:hAnsi="宋体"/>
                <w:szCs w:val="21"/>
              </w:rPr>
              <w:t>联系人：</w:t>
            </w:r>
            <w:r>
              <w:rPr>
                <w:rFonts w:hint="eastAsia" w:ascii="宋体" w:hAnsi="宋体"/>
                <w:szCs w:val="21"/>
                <w:lang w:val="en-US" w:eastAsia="zh-CN"/>
              </w:rPr>
              <w:t>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因扬州市生态科技新城</w:t>
      </w:r>
      <w:r>
        <w:rPr>
          <w:rFonts w:hint="eastAsia" w:ascii="宋体" w:hAnsi="宋体"/>
          <w:szCs w:val="21"/>
          <w:lang w:val="en-US" w:eastAsia="zh-CN"/>
        </w:rPr>
        <w:t>2023年</w:t>
      </w:r>
      <w:r>
        <w:rPr>
          <w:rFonts w:hint="eastAsia" w:ascii="宋体" w:hAnsi="宋体"/>
          <w:szCs w:val="21"/>
        </w:rPr>
        <w:t>污水处理提质增效工程需要</w:t>
      </w:r>
      <w:r>
        <w:rPr>
          <w:rFonts w:hint="eastAsia" w:ascii="宋体" w:hAnsi="宋体"/>
          <w:color w:val="FF0000"/>
          <w:szCs w:val="21"/>
        </w:rPr>
        <w:t>PE实壁管</w:t>
      </w:r>
      <w:r>
        <w:rPr>
          <w:rFonts w:hint="eastAsia" w:ascii="宋体" w:hAnsi="宋体"/>
          <w:szCs w:val="21"/>
        </w:rPr>
        <w:t>材料采购，本招标项目已具备招标条件，现对本项目进行招标。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hint="eastAsia" w:ascii="宋体" w:hAnsi="宋体" w:eastAsia="宋体"/>
          <w:szCs w:val="21"/>
          <w:lang w:eastAsia="zh-CN"/>
        </w:rPr>
      </w:pPr>
      <w:r>
        <w:rPr>
          <w:rFonts w:hint="eastAsia" w:ascii="宋体" w:hAnsi="宋体"/>
          <w:szCs w:val="21"/>
        </w:rPr>
        <w:t>4.1投标人必须是中华人民共和国境内注册的企业法人，应遵守中国有关的法律、法规，严格执行国家标准</w:t>
      </w:r>
      <w:r>
        <w:rPr>
          <w:rFonts w:hint="eastAsia" w:ascii="宋体" w:hAnsi="宋体"/>
          <w:szCs w:val="21"/>
          <w:lang w:eastAsia="zh-CN"/>
        </w:rPr>
        <w:t>，</w:t>
      </w:r>
      <w:r>
        <w:rPr>
          <w:rFonts w:hint="eastAsia" w:ascii="宋体" w:hAnsi="宋体"/>
          <w:szCs w:val="21"/>
        </w:rPr>
        <w:t>投标人</w:t>
      </w:r>
      <w:r>
        <w:rPr>
          <w:rFonts w:hint="eastAsia" w:ascii="宋体" w:hAnsi="宋体"/>
          <w:szCs w:val="21"/>
          <w:lang w:val="en-US" w:eastAsia="zh-CN"/>
        </w:rPr>
        <w:t>仅限于</w:t>
      </w:r>
      <w:r>
        <w:rPr>
          <w:rFonts w:hint="eastAsia" w:ascii="宋体" w:hAnsi="宋体"/>
          <w:szCs w:val="21"/>
        </w:rPr>
        <w:t>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0" w:firstLineChars="367"/>
        <w:jc w:val="left"/>
        <w:rPr>
          <w:rFonts w:hint="eastAsia" w:ascii="宋体" w:hAnsi="宋体"/>
          <w:szCs w:val="21"/>
          <w:lang w:eastAsia="zh-CN"/>
        </w:rPr>
      </w:pPr>
      <w:r>
        <w:rPr>
          <w:rFonts w:hint="eastAsia" w:ascii="宋体" w:hAnsi="宋体"/>
          <w:szCs w:val="21"/>
        </w:rPr>
        <w:t>符合国家相关质量标准</w:t>
      </w:r>
      <w:r>
        <w:rPr>
          <w:rFonts w:hint="eastAsia" w:ascii="宋体" w:hAnsi="宋体"/>
          <w:szCs w:val="21"/>
          <w:lang w:eastAsia="zh-CN"/>
        </w:rPr>
        <w:t>，</w:t>
      </w:r>
      <w:r>
        <w:rPr>
          <w:rFonts w:hint="eastAsia" w:ascii="宋体" w:hAnsi="宋体"/>
          <w:szCs w:val="21"/>
          <w:lang w:val="en-US" w:eastAsia="zh-CN"/>
        </w:rPr>
        <w:t>管材采用 PE 实壁排水管，热熔焊接。管材质量应符合《非开挖工程用聚乙烯管》（CJ/T 358-2019）的要求。</w:t>
      </w:r>
    </w:p>
    <w:p>
      <w:pPr>
        <w:numPr>
          <w:ilvl w:val="0"/>
          <w:numId w:val="3"/>
        </w:numPr>
        <w:autoSpaceDE w:val="0"/>
        <w:autoSpaceDN w:val="0"/>
        <w:adjustRightInd w:val="0"/>
        <w:snapToGrid w:val="0"/>
        <w:spacing w:line="480" w:lineRule="exact"/>
        <w:ind w:firstLine="770" w:firstLineChars="367"/>
        <w:jc w:val="left"/>
        <w:rPr>
          <w:rFonts w:hint="eastAsia" w:ascii="宋体" w:hAnsi="宋体"/>
          <w:szCs w:val="21"/>
        </w:rPr>
      </w:pPr>
      <w:r>
        <w:rPr>
          <w:rFonts w:hint="eastAsia" w:ascii="宋体" w:hAnsi="宋体"/>
          <w:szCs w:val="21"/>
        </w:rPr>
        <w:t>采购清单及控制价：</w:t>
      </w:r>
    </w:p>
    <w:tbl>
      <w:tblPr>
        <w:tblStyle w:val="15"/>
        <w:tblpPr w:leftFromText="180" w:rightFromText="180" w:vertAnchor="text" w:horzAnchor="page" w:tblpX="1365" w:tblpY="222"/>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90"/>
        <w:gridCol w:w="1695"/>
        <w:gridCol w:w="1172"/>
        <w:gridCol w:w="1598"/>
        <w:gridCol w:w="122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t>序号</w:t>
            </w:r>
          </w:p>
        </w:tc>
        <w:tc>
          <w:tcPr>
            <w:tcW w:w="1790" w:type="dxa"/>
            <w:vAlign w:val="center"/>
          </w:tcPr>
          <w:p>
            <w:pPr>
              <w:pStyle w:val="6"/>
              <w:ind w:left="0" w:leftChars="0"/>
              <w:jc w:val="center"/>
            </w:pPr>
            <w:r>
              <w:t>名称</w:t>
            </w:r>
          </w:p>
        </w:tc>
        <w:tc>
          <w:tcPr>
            <w:tcW w:w="1695" w:type="dxa"/>
            <w:vAlign w:val="center"/>
          </w:tcPr>
          <w:p>
            <w:pPr>
              <w:pStyle w:val="6"/>
              <w:ind w:left="0" w:leftChars="0"/>
              <w:jc w:val="center"/>
            </w:pPr>
            <w:r>
              <w:rPr>
                <w:rFonts w:hint="eastAsia"/>
              </w:rPr>
              <w:t>规格</w:t>
            </w:r>
          </w:p>
        </w:tc>
        <w:tc>
          <w:tcPr>
            <w:tcW w:w="1172" w:type="dxa"/>
            <w:vAlign w:val="center"/>
          </w:tcPr>
          <w:p>
            <w:pPr>
              <w:pStyle w:val="6"/>
              <w:ind w:left="0" w:leftChars="0"/>
              <w:jc w:val="center"/>
            </w:pPr>
            <w:r>
              <w:rPr>
                <w:rFonts w:hint="eastAsia"/>
              </w:rPr>
              <w:t>管长（米）</w:t>
            </w:r>
          </w:p>
        </w:tc>
        <w:tc>
          <w:tcPr>
            <w:tcW w:w="1598" w:type="dxa"/>
            <w:vAlign w:val="center"/>
          </w:tcPr>
          <w:p>
            <w:pPr>
              <w:pStyle w:val="6"/>
              <w:ind w:left="0" w:leftChars="0"/>
              <w:jc w:val="center"/>
            </w:pPr>
            <w:r>
              <w:rPr>
                <w:rFonts w:hint="eastAsia"/>
              </w:rPr>
              <w:t>最高限价</w:t>
            </w:r>
            <w:r>
              <w:t>（含</w:t>
            </w:r>
            <w:r>
              <w:rPr>
                <w:rFonts w:hint="eastAsia"/>
              </w:rPr>
              <w:t>13%</w:t>
            </w:r>
            <w:r>
              <w:t>税价）</w:t>
            </w:r>
          </w:p>
        </w:tc>
        <w:tc>
          <w:tcPr>
            <w:tcW w:w="1220" w:type="dxa"/>
            <w:vAlign w:val="center"/>
          </w:tcPr>
          <w:p>
            <w:pPr>
              <w:pStyle w:val="6"/>
              <w:ind w:left="0" w:leftChars="0"/>
              <w:jc w:val="center"/>
            </w:pPr>
            <w:r>
              <w:rPr>
                <w:rFonts w:hint="eastAsia"/>
              </w:rPr>
              <w:t>总价（</w:t>
            </w:r>
            <w:r>
              <w:t>含</w:t>
            </w:r>
            <w:r>
              <w:rPr>
                <w:rFonts w:hint="eastAsia"/>
              </w:rPr>
              <w:t>13%</w:t>
            </w:r>
            <w:r>
              <w:t>税价</w:t>
            </w:r>
            <w:r>
              <w:rPr>
                <w:rFonts w:hint="eastAsia"/>
              </w:rPr>
              <w:t>）</w:t>
            </w:r>
          </w:p>
        </w:tc>
        <w:tc>
          <w:tcPr>
            <w:tcW w:w="2021" w:type="dxa"/>
            <w:vAlign w:val="center"/>
          </w:tcPr>
          <w:p>
            <w:pPr>
              <w:pStyle w:val="6"/>
              <w:ind w:left="0" w:left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rPr>
                <w:rFonts w:hint="eastAsia"/>
              </w:rPr>
              <w:t>1</w:t>
            </w:r>
          </w:p>
        </w:tc>
        <w:tc>
          <w:tcPr>
            <w:tcW w:w="1790"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HDPE实壁排水管</w:t>
            </w:r>
          </w:p>
        </w:tc>
        <w:tc>
          <w:tcPr>
            <w:tcW w:w="1695"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DN2</w:t>
            </w:r>
            <w:r>
              <w:rPr>
                <w:rFonts w:hint="eastAsia"/>
                <w:lang w:val="en-US" w:eastAsia="zh-CN"/>
              </w:rPr>
              <w:t>2</w:t>
            </w:r>
            <w:r>
              <w:rPr>
                <w:rFonts w:hint="eastAsia"/>
              </w:rPr>
              <w:t>5</w:t>
            </w:r>
          </w:p>
        </w:tc>
        <w:tc>
          <w:tcPr>
            <w:tcW w:w="1172"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240</w:t>
            </w:r>
          </w:p>
        </w:tc>
        <w:tc>
          <w:tcPr>
            <w:tcW w:w="1598"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110</w:t>
            </w:r>
          </w:p>
        </w:tc>
        <w:tc>
          <w:tcPr>
            <w:tcW w:w="122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26400</w:t>
            </w:r>
          </w:p>
        </w:tc>
        <w:tc>
          <w:tcPr>
            <w:tcW w:w="2021"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环刚度12.5kn/m2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rPr>
                <w:rFonts w:hint="eastAsia"/>
              </w:rPr>
              <w:t>2</w:t>
            </w:r>
          </w:p>
        </w:tc>
        <w:tc>
          <w:tcPr>
            <w:tcW w:w="1790"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HDPE实壁排水管</w:t>
            </w:r>
          </w:p>
        </w:tc>
        <w:tc>
          <w:tcPr>
            <w:tcW w:w="1695"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DN255</w:t>
            </w:r>
          </w:p>
        </w:tc>
        <w:tc>
          <w:tcPr>
            <w:tcW w:w="1172"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624</w:t>
            </w:r>
          </w:p>
        </w:tc>
        <w:tc>
          <w:tcPr>
            <w:tcW w:w="1598"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135</w:t>
            </w:r>
          </w:p>
        </w:tc>
        <w:tc>
          <w:tcPr>
            <w:tcW w:w="1220"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84240</w:t>
            </w:r>
          </w:p>
        </w:tc>
        <w:tc>
          <w:tcPr>
            <w:tcW w:w="2021"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环刚度12.5kn/m2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rPr>
                <w:rFonts w:hint="eastAsia"/>
              </w:rPr>
              <w:t>3</w:t>
            </w:r>
          </w:p>
        </w:tc>
        <w:tc>
          <w:tcPr>
            <w:tcW w:w="1790"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 xml:space="preserve">HDPE实壁排水管 </w:t>
            </w:r>
          </w:p>
        </w:tc>
        <w:tc>
          <w:tcPr>
            <w:tcW w:w="1695"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DN315</w:t>
            </w:r>
          </w:p>
        </w:tc>
        <w:tc>
          <w:tcPr>
            <w:tcW w:w="1172"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936</w:t>
            </w:r>
          </w:p>
        </w:tc>
        <w:tc>
          <w:tcPr>
            <w:tcW w:w="1598"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225</w:t>
            </w:r>
          </w:p>
        </w:tc>
        <w:tc>
          <w:tcPr>
            <w:tcW w:w="1220"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210600</w:t>
            </w:r>
          </w:p>
        </w:tc>
        <w:tc>
          <w:tcPr>
            <w:tcW w:w="2021"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环刚度16kn/m2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rPr>
                <w:rFonts w:hint="eastAsia"/>
              </w:rPr>
              <w:t>4</w:t>
            </w:r>
          </w:p>
        </w:tc>
        <w:tc>
          <w:tcPr>
            <w:tcW w:w="1790"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HDPE实壁排水管</w:t>
            </w:r>
          </w:p>
        </w:tc>
        <w:tc>
          <w:tcPr>
            <w:tcW w:w="1695"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DN355</w:t>
            </w:r>
          </w:p>
        </w:tc>
        <w:tc>
          <w:tcPr>
            <w:tcW w:w="1172"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lang w:val="en-US" w:eastAsia="zh-CN"/>
              </w:rPr>
              <w:t>4446</w:t>
            </w:r>
          </w:p>
        </w:tc>
        <w:tc>
          <w:tcPr>
            <w:tcW w:w="1598"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lang w:val="en-US" w:eastAsia="zh-CN"/>
              </w:rPr>
              <w:t>250</w:t>
            </w:r>
          </w:p>
        </w:tc>
        <w:tc>
          <w:tcPr>
            <w:tcW w:w="1220"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1111500</w:t>
            </w:r>
          </w:p>
        </w:tc>
        <w:tc>
          <w:tcPr>
            <w:tcW w:w="2021"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环刚度12.5kn/m2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rPr>
                <w:rFonts w:hint="eastAsia"/>
              </w:rPr>
              <w:t>5</w:t>
            </w:r>
          </w:p>
        </w:tc>
        <w:tc>
          <w:tcPr>
            <w:tcW w:w="1790"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HDPE实壁排水管</w:t>
            </w:r>
          </w:p>
        </w:tc>
        <w:tc>
          <w:tcPr>
            <w:tcW w:w="1695"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DN400</w:t>
            </w:r>
          </w:p>
        </w:tc>
        <w:tc>
          <w:tcPr>
            <w:tcW w:w="1172"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60</w:t>
            </w:r>
          </w:p>
        </w:tc>
        <w:tc>
          <w:tcPr>
            <w:tcW w:w="1598"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337</w:t>
            </w:r>
          </w:p>
        </w:tc>
        <w:tc>
          <w:tcPr>
            <w:tcW w:w="1220"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20220</w:t>
            </w:r>
          </w:p>
        </w:tc>
        <w:tc>
          <w:tcPr>
            <w:tcW w:w="2021" w:type="dxa"/>
            <w:vAlign w:val="center"/>
          </w:tcPr>
          <w:p>
            <w:pPr>
              <w:pStyle w:val="6"/>
              <w:ind w:left="0" w:leftChars="0"/>
              <w:jc w:val="cente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rPr>
                <w:rFonts w:hint="eastAsia"/>
              </w:rPr>
              <w:t>6</w:t>
            </w:r>
          </w:p>
        </w:tc>
        <w:tc>
          <w:tcPr>
            <w:tcW w:w="1790"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HDPE实壁排水管</w:t>
            </w:r>
          </w:p>
        </w:tc>
        <w:tc>
          <w:tcPr>
            <w:tcW w:w="1695"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DN450</w:t>
            </w:r>
          </w:p>
        </w:tc>
        <w:tc>
          <w:tcPr>
            <w:tcW w:w="1172"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480</w:t>
            </w:r>
          </w:p>
        </w:tc>
        <w:tc>
          <w:tcPr>
            <w:tcW w:w="1598"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450</w:t>
            </w:r>
          </w:p>
        </w:tc>
        <w:tc>
          <w:tcPr>
            <w:tcW w:w="1220"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216000</w:t>
            </w:r>
          </w:p>
        </w:tc>
        <w:tc>
          <w:tcPr>
            <w:tcW w:w="2021" w:type="dxa"/>
            <w:vAlign w:val="center"/>
          </w:tcPr>
          <w:p>
            <w:pPr>
              <w:pStyle w:val="6"/>
              <w:ind w:left="0" w:leftChars="0"/>
              <w:jc w:val="cente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rPr>
                <w:rFonts w:hint="eastAsia" w:eastAsia="宋体"/>
                <w:lang w:val="en-US" w:eastAsia="zh-CN"/>
              </w:rPr>
            </w:pPr>
            <w:r>
              <w:rPr>
                <w:rFonts w:hint="eastAsia"/>
                <w:lang w:val="en-US" w:eastAsia="zh-CN"/>
              </w:rPr>
              <w:t>7</w:t>
            </w:r>
          </w:p>
        </w:tc>
        <w:tc>
          <w:tcPr>
            <w:tcW w:w="1790"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HDPE实壁排水管</w:t>
            </w:r>
          </w:p>
        </w:tc>
        <w:tc>
          <w:tcPr>
            <w:tcW w:w="1695"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DN560</w:t>
            </w:r>
          </w:p>
        </w:tc>
        <w:tc>
          <w:tcPr>
            <w:tcW w:w="1172"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lang w:val="en-US" w:eastAsia="zh-CN"/>
              </w:rPr>
              <w:t>96</w:t>
            </w:r>
          </w:p>
        </w:tc>
        <w:tc>
          <w:tcPr>
            <w:tcW w:w="1598" w:type="dxa"/>
            <w:vAlign w:val="center"/>
          </w:tcPr>
          <w:p>
            <w:pPr>
              <w:pStyle w:val="6"/>
              <w:ind w:left="0" w:left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700</w:t>
            </w:r>
          </w:p>
        </w:tc>
        <w:tc>
          <w:tcPr>
            <w:tcW w:w="1220"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67200</w:t>
            </w:r>
          </w:p>
        </w:tc>
        <w:tc>
          <w:tcPr>
            <w:tcW w:w="2021" w:type="dxa"/>
            <w:vAlign w:val="center"/>
          </w:tcPr>
          <w:p>
            <w:pPr>
              <w:pStyle w:val="6"/>
              <w:ind w:left="0" w:leftChars="0"/>
              <w:jc w:val="center"/>
              <w:rPr>
                <w:rFonts w:ascii="Times New Roman" w:hAnsi="Times New Roman" w:eastAsia="宋体" w:cs="Times New Roman"/>
                <w:kern w:val="2"/>
                <w:sz w:val="21"/>
                <w:szCs w:val="24"/>
                <w:lang w:val="en-US" w:eastAsia="zh-CN" w:bidi="ar-SA"/>
              </w:rPr>
            </w:pPr>
            <w:r>
              <w:rPr>
                <w:rFonts w:hint="eastAsia"/>
              </w:rPr>
              <w:t>SDR21系列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rPr>
                <w:rFonts w:hint="eastAsia"/>
              </w:rPr>
            </w:pPr>
            <w:r>
              <w:rPr>
                <w:rFonts w:hint="eastAsia"/>
              </w:rPr>
              <w:t>合计</w:t>
            </w:r>
          </w:p>
        </w:tc>
        <w:tc>
          <w:tcPr>
            <w:tcW w:w="1790" w:type="dxa"/>
            <w:vAlign w:val="center"/>
          </w:tcPr>
          <w:p>
            <w:pPr>
              <w:pStyle w:val="6"/>
              <w:ind w:left="0" w:leftChars="0"/>
              <w:jc w:val="center"/>
            </w:pPr>
          </w:p>
        </w:tc>
        <w:tc>
          <w:tcPr>
            <w:tcW w:w="1695" w:type="dxa"/>
            <w:vAlign w:val="center"/>
          </w:tcPr>
          <w:p>
            <w:pPr>
              <w:pStyle w:val="6"/>
              <w:ind w:left="0" w:leftChars="0"/>
              <w:jc w:val="center"/>
            </w:pPr>
          </w:p>
        </w:tc>
        <w:tc>
          <w:tcPr>
            <w:tcW w:w="1172" w:type="dxa"/>
            <w:vAlign w:val="center"/>
          </w:tcPr>
          <w:p>
            <w:pPr>
              <w:pStyle w:val="6"/>
              <w:ind w:left="0" w:leftChars="0"/>
              <w:jc w:val="center"/>
            </w:pPr>
          </w:p>
        </w:tc>
        <w:tc>
          <w:tcPr>
            <w:tcW w:w="1598" w:type="dxa"/>
            <w:vAlign w:val="center"/>
          </w:tcPr>
          <w:p>
            <w:pPr>
              <w:pStyle w:val="6"/>
              <w:ind w:left="0" w:leftChars="0"/>
              <w:jc w:val="center"/>
            </w:pPr>
          </w:p>
        </w:tc>
        <w:tc>
          <w:tcPr>
            <w:tcW w:w="1220" w:type="dxa"/>
            <w:vAlign w:val="center"/>
          </w:tcPr>
          <w:p>
            <w:pPr>
              <w:pStyle w:val="6"/>
              <w:ind w:left="0" w:leftChars="0"/>
              <w:jc w:val="center"/>
              <w:rPr>
                <w:rFonts w:hint="default" w:eastAsia="宋体"/>
                <w:lang w:val="en-US" w:eastAsia="zh-CN"/>
              </w:rPr>
            </w:pPr>
            <w:r>
              <w:rPr>
                <w:rFonts w:hint="eastAsia"/>
                <w:lang w:val="en-US" w:eastAsia="zh-CN"/>
              </w:rPr>
              <w:t>1736160</w:t>
            </w:r>
          </w:p>
        </w:tc>
        <w:tc>
          <w:tcPr>
            <w:tcW w:w="2021" w:type="dxa"/>
            <w:vAlign w:val="center"/>
          </w:tcPr>
          <w:p>
            <w:pPr>
              <w:pStyle w:val="6"/>
              <w:ind w:left="0" w:leftChars="0"/>
              <w:jc w:val="center"/>
            </w:pPr>
          </w:p>
        </w:tc>
      </w:tr>
    </w:tbl>
    <w:p>
      <w:pPr>
        <w:autoSpaceDE w:val="0"/>
        <w:autoSpaceDN w:val="0"/>
        <w:adjustRightInd w:val="0"/>
        <w:snapToGrid w:val="0"/>
        <w:spacing w:line="480" w:lineRule="exact"/>
        <w:ind w:firstLine="517" w:firstLineChars="245"/>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630" w:firstLineChars="300"/>
        <w:rPr>
          <w:rFonts w:ascii="宋体" w:hAnsi="宋体"/>
          <w:szCs w:val="21"/>
        </w:rPr>
      </w:pPr>
      <w:r>
        <w:rPr>
          <w:rFonts w:hint="eastAsia" w:ascii="宋体" w:hAnsi="宋体"/>
          <w:szCs w:val="21"/>
        </w:rPr>
        <w:t>1、投标单位固定单价报价。</w:t>
      </w:r>
    </w:p>
    <w:p>
      <w:pPr>
        <w:autoSpaceDE w:val="0"/>
        <w:autoSpaceDN w:val="0"/>
        <w:adjustRightInd w:val="0"/>
        <w:snapToGrid w:val="0"/>
        <w:spacing w:line="480" w:lineRule="exact"/>
        <w:ind w:left="630" w:leftChars="300"/>
      </w:pPr>
      <w:r>
        <w:rPr>
          <w:rFonts w:hint="eastAsia" w:ascii="宋体" w:hAnsi="宋体"/>
          <w:szCs w:val="21"/>
        </w:rPr>
        <w:t>2、投标单位须具有独立法人资格，招标内容在其营业执照的经营范围内，提供营业执照（复印件）。3、</w:t>
      </w:r>
      <w:r>
        <w:rPr>
          <w:rFonts w:hint="eastAsia"/>
          <w:szCs w:val="21"/>
        </w:rPr>
        <w:t>投标单位须提供</w:t>
      </w:r>
      <w:r>
        <w:rPr>
          <w:rFonts w:hint="eastAsia" w:ascii="宋体" w:hAnsi="宋体" w:cs="宋体"/>
          <w:bCs/>
          <w:kern w:val="0"/>
          <w:szCs w:val="21"/>
        </w:rPr>
        <w:t>质量监督检验部门颁发的相关证件（认证证书复印件加盖公章装订于投标文件中），</w:t>
      </w:r>
      <w:r>
        <w:rPr>
          <w:rFonts w:hint="eastAsia"/>
        </w:rPr>
        <w:t>质量须符合《非开挖工程用聚乙烯管》（CJ/T 358-2019）的要求。</w:t>
      </w:r>
    </w:p>
    <w:p>
      <w:pPr>
        <w:autoSpaceDE w:val="0"/>
        <w:autoSpaceDN w:val="0"/>
        <w:adjustRightInd w:val="0"/>
        <w:snapToGrid w:val="0"/>
        <w:spacing w:line="480" w:lineRule="exact"/>
        <w:ind w:left="630" w:leftChars="300"/>
        <w:rPr>
          <w:rFonts w:ascii="宋体" w:hAnsi="宋体"/>
          <w:color w:val="FF0000"/>
          <w:szCs w:val="21"/>
        </w:rPr>
      </w:pPr>
      <w:r>
        <w:rPr>
          <w:rFonts w:hint="eastAsia" w:ascii="宋体" w:hAnsi="宋体"/>
          <w:color w:val="FF0000"/>
          <w:szCs w:val="21"/>
        </w:rPr>
        <w:t>4、投标单位须提供全新料证明文件。</w:t>
      </w:r>
    </w:p>
    <w:p>
      <w:pPr>
        <w:autoSpaceDE w:val="0"/>
        <w:autoSpaceDN w:val="0"/>
        <w:adjustRightInd w:val="0"/>
        <w:snapToGrid w:val="0"/>
        <w:spacing w:line="480" w:lineRule="exact"/>
        <w:ind w:firstLine="630" w:firstLineChars="300"/>
        <w:rPr>
          <w:rFonts w:hint="eastAsia" w:ascii="宋体" w:hAnsi="宋体" w:cs="宋体"/>
          <w:bCs/>
          <w:kern w:val="0"/>
          <w:szCs w:val="21"/>
          <w:lang w:val="en-US" w:eastAsia="zh-CN"/>
        </w:rPr>
      </w:pPr>
      <w:r>
        <w:rPr>
          <w:rFonts w:hint="eastAsia" w:ascii="宋体" w:hAnsi="宋体" w:eastAsia="宋体"/>
          <w:sz w:val="21"/>
          <w:szCs w:val="21"/>
        </w:rPr>
        <w:t>5、</w:t>
      </w:r>
      <w:r>
        <w:rPr>
          <w:rFonts w:hint="eastAsia" w:ascii="宋体" w:hAnsi="宋体" w:cs="宋体"/>
          <w:bCs/>
          <w:kern w:val="0"/>
          <w:szCs w:val="21"/>
        </w:rPr>
        <w:t>投标单位须提供2份近3年</w:t>
      </w:r>
      <w:r>
        <w:rPr>
          <w:rFonts w:hint="eastAsia" w:ascii="宋体" w:hAnsi="宋体" w:cs="宋体"/>
          <w:bCs/>
          <w:kern w:val="0"/>
          <w:szCs w:val="21"/>
          <w:lang w:val="en-US" w:eastAsia="zh-CN"/>
        </w:rPr>
        <w:t>PE实壁管</w:t>
      </w:r>
      <w:r>
        <w:rPr>
          <w:rFonts w:hint="eastAsia" w:ascii="宋体" w:hAnsi="宋体" w:cs="宋体"/>
          <w:bCs/>
          <w:kern w:val="0"/>
          <w:szCs w:val="21"/>
        </w:rPr>
        <w:t>供货业绩（合同金额</w:t>
      </w:r>
      <w:r>
        <w:rPr>
          <w:rFonts w:hint="eastAsia" w:ascii="宋体" w:hAnsi="宋体" w:cs="宋体"/>
          <w:bCs/>
          <w:kern w:val="0"/>
          <w:szCs w:val="21"/>
          <w:lang w:val="en-US" w:eastAsia="zh-CN"/>
        </w:rPr>
        <w:t>5</w:t>
      </w:r>
      <w:r>
        <w:rPr>
          <w:rFonts w:hint="eastAsia" w:ascii="宋体" w:hAnsi="宋体" w:cs="宋体"/>
          <w:bCs/>
          <w:kern w:val="0"/>
          <w:szCs w:val="21"/>
        </w:rPr>
        <w:t>0万元及以上），提供合同和发票复印件加盖公章，评标委员会会根据投标方提供的发票号码，在国家税务总局全国增值税发票查询平台进行核实，如发现一次虚假将作为废标处理”。</w:t>
      </w:r>
    </w:p>
    <w:p>
      <w:pPr>
        <w:autoSpaceDE w:val="0"/>
        <w:autoSpaceDN w:val="0"/>
        <w:adjustRightInd w:val="0"/>
        <w:snapToGrid w:val="0"/>
        <w:spacing w:line="480" w:lineRule="exact"/>
        <w:ind w:firstLine="630" w:firstLineChars="300"/>
        <w:rPr>
          <w:rFonts w:ascii="宋体" w:hAnsi="宋体"/>
          <w:szCs w:val="21"/>
        </w:rPr>
      </w:pPr>
      <w:r>
        <w:rPr>
          <w:rFonts w:hint="eastAsia" w:ascii="宋体" w:hAnsi="宋体"/>
          <w:szCs w:val="21"/>
        </w:rPr>
        <w:t>6、投标文件正本一份，正本必须用不能擦去的墨水书写或打印，正本应装订成册。</w:t>
      </w:r>
    </w:p>
    <w:p>
      <w:pPr>
        <w:autoSpaceDE w:val="0"/>
        <w:autoSpaceDN w:val="0"/>
        <w:adjustRightInd w:val="0"/>
        <w:snapToGrid w:val="0"/>
        <w:spacing w:line="480" w:lineRule="exact"/>
        <w:ind w:firstLine="630" w:firstLineChars="300"/>
        <w:rPr>
          <w:rFonts w:ascii="宋体" w:hAnsi="宋体"/>
          <w:szCs w:val="21"/>
        </w:rPr>
      </w:pPr>
      <w:r>
        <w:rPr>
          <w:rFonts w:hint="eastAsia" w:ascii="宋体" w:hAnsi="宋体"/>
          <w:szCs w:val="21"/>
        </w:rPr>
        <w:t>7、具有独立法人资格的生产企业或代理商，此报价为材料送达招标方指定地点的价格。</w:t>
      </w:r>
    </w:p>
    <w:p>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8、包装要求：所有包装必须经得起陆上,水上的运输，卖方应对包装的所供货物负责，使其到达目的地后完整无缺，卖方负责提供所有的包装（注明免费）。</w:t>
      </w:r>
    </w:p>
    <w:p>
      <w:pPr>
        <w:numPr>
          <w:ilvl w:val="0"/>
          <w:numId w:val="0"/>
        </w:numPr>
        <w:autoSpaceDE w:val="0"/>
        <w:autoSpaceDN w:val="0"/>
        <w:adjustRightInd w:val="0"/>
        <w:snapToGrid w:val="0"/>
        <w:spacing w:line="480" w:lineRule="exact"/>
        <w:ind w:left="630" w:leftChars="0"/>
        <w:rPr>
          <w:rFonts w:hint="eastAsia" w:ascii="宋体" w:hAnsi="宋体"/>
          <w:szCs w:val="21"/>
          <w:lang w:val="en-US" w:eastAsia="zh-CN"/>
        </w:rPr>
      </w:pPr>
      <w:r>
        <w:rPr>
          <w:rFonts w:hint="eastAsia" w:ascii="宋体" w:hAnsi="宋体" w:cs="宋体"/>
          <w:sz w:val="24"/>
          <w:szCs w:val="24"/>
          <w:lang w:val="en-US" w:eastAsia="zh-CN"/>
        </w:rPr>
        <w:t>9、</w:t>
      </w:r>
      <w:r>
        <w:rPr>
          <w:rFonts w:ascii="宋体" w:hAnsi="宋体" w:eastAsia="宋体" w:cs="宋体"/>
          <w:sz w:val="24"/>
          <w:szCs w:val="24"/>
        </w:rPr>
        <w:t>投标单位须</w:t>
      </w:r>
      <w:r>
        <w:rPr>
          <w:rFonts w:hint="eastAsia" w:ascii="宋体" w:hAnsi="宋体" w:eastAsia="宋体" w:cs="宋体"/>
          <w:sz w:val="24"/>
          <w:szCs w:val="24"/>
          <w:lang w:val="en-US" w:eastAsia="zh-CN"/>
        </w:rPr>
        <w:t>提供一般纳税人证明</w:t>
      </w:r>
      <w:r>
        <w:rPr>
          <w:rFonts w:hint="eastAsia" w:ascii="宋体" w:hAnsi="宋体"/>
          <w:szCs w:val="21"/>
          <w:lang w:val="en-US" w:eastAsia="zh-CN"/>
        </w:rPr>
        <w:t>。</w:t>
      </w:r>
    </w:p>
    <w:p>
      <w:pPr>
        <w:numPr>
          <w:ilvl w:val="0"/>
          <w:numId w:val="0"/>
        </w:numPr>
        <w:autoSpaceDE w:val="0"/>
        <w:autoSpaceDN w:val="0"/>
        <w:adjustRightInd w:val="0"/>
        <w:snapToGrid w:val="0"/>
        <w:spacing w:line="480" w:lineRule="exact"/>
        <w:ind w:left="630" w:leftChars="0"/>
        <w:rPr>
          <w:rFonts w:hint="eastAsia" w:ascii="宋体" w:hAnsi="宋体" w:eastAsia="宋体" w:cs="宋体"/>
          <w:sz w:val="24"/>
          <w:szCs w:val="24"/>
          <w:lang w:eastAsia="zh-CN"/>
        </w:rPr>
      </w:pPr>
      <w:r>
        <w:rPr>
          <w:rFonts w:hint="eastAsia" w:ascii="宋体" w:hAnsi="宋体"/>
          <w:szCs w:val="21"/>
          <w:lang w:val="en-US" w:eastAsia="zh-CN"/>
        </w:rPr>
        <w:t>10、</w:t>
      </w:r>
      <w:r>
        <w:rPr>
          <w:rFonts w:ascii="宋体" w:hAnsi="宋体" w:eastAsia="宋体" w:cs="宋体"/>
          <w:sz w:val="24"/>
          <w:szCs w:val="24"/>
        </w:rPr>
        <w:t>投标单位须提供质量承诺书</w:t>
      </w:r>
      <w:r>
        <w:rPr>
          <w:rFonts w:hint="eastAsia" w:ascii="宋体" w:hAnsi="宋体" w:cs="宋体"/>
          <w:sz w:val="24"/>
          <w:szCs w:val="24"/>
          <w:lang w:eastAsia="zh-CN"/>
        </w:rPr>
        <w:t>。</w:t>
      </w:r>
    </w:p>
    <w:p>
      <w:pPr>
        <w:numPr>
          <w:ilvl w:val="0"/>
          <w:numId w:val="0"/>
        </w:numPr>
        <w:autoSpaceDE w:val="0"/>
        <w:autoSpaceDN w:val="0"/>
        <w:adjustRightInd w:val="0"/>
        <w:snapToGrid w:val="0"/>
        <w:spacing w:line="480" w:lineRule="exact"/>
        <w:ind w:left="630"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ascii="宋体" w:hAnsi="宋体" w:eastAsia="宋体" w:cs="宋体"/>
          <w:sz w:val="24"/>
          <w:szCs w:val="24"/>
        </w:rPr>
        <w:t>中标单位须提供招标单位所需数量的热熔设备。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rPr>
        <w:t xml:space="preserve">固定单价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最终结算总价根据最终实际采购数量和固定单价确定。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w:t>
      </w:r>
      <w:r>
        <w:rPr>
          <w:rFonts w:hint="eastAsia" w:ascii="宋体" w:hAnsi="宋体"/>
          <w:color w:val="FF0000"/>
          <w:szCs w:val="21"/>
        </w:rPr>
        <w:t>结算方式及期限：工程结束竣工验收后支付材料款的60%（不超过合同价的60%），第二年底后支付材料款的85%（不超过合同价的85%），第三年年底付清余款（两年质保期），以上材料款支付，需满足建设单位工程款已支付且按同比例支付材料款。</w:t>
      </w:r>
    </w:p>
    <w:p>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rPr>
          <w:rFonts w:hint="eastAsia" w:ascii="黑体" w:eastAsia="黑体"/>
          <w:color w:val="000000"/>
          <w:sz w:val="30"/>
        </w:rPr>
      </w:pPr>
    </w:p>
    <w:p>
      <w:pPr>
        <w:spacing w:line="720" w:lineRule="exact"/>
        <w:jc w:val="center"/>
        <w:rPr>
          <w:rFonts w:ascii="楷体_GB2312" w:eastAsia="楷体_GB2312"/>
          <w:b/>
          <w:color w:val="000000"/>
          <w:sz w:val="30"/>
        </w:rPr>
      </w:pPr>
      <w:r>
        <w:rPr>
          <w:rFonts w:hint="eastAsia" w:ascii="楷体_GB2312" w:eastAsia="楷体_GB2312"/>
          <w:b/>
          <w:color w:val="000000"/>
          <w:sz w:val="30"/>
        </w:rPr>
        <w:t>1、投标书</w:t>
      </w:r>
    </w:p>
    <w:p>
      <w:pPr>
        <w:spacing w:line="480" w:lineRule="exact"/>
        <w:ind w:firstLine="480"/>
        <w:rPr>
          <w:rFonts w:ascii="宋体" w:hAnsi="宋体"/>
          <w:color w:val="000000"/>
          <w:sz w:val="24"/>
        </w:rPr>
      </w:pPr>
      <w:r>
        <w:rPr>
          <w:rFonts w:hint="eastAsia" w:ascii="宋体" w:hAnsi="宋体"/>
          <w:color w:val="000000"/>
          <w:sz w:val="24"/>
        </w:rPr>
        <w:t>扬州市上善建设工程有限公司：</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r>
              <w:rPr>
                <w:rFonts w:hint="eastAsia" w:ascii="宋体" w:hAnsi="宋体"/>
                <w:color w:val="00000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
    <w:p/>
    <w:p/>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120" w:firstLineChars="5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黑体" w:eastAsia="黑体"/>
          <w:color w:val="000000"/>
          <w:sz w:val="36"/>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宋体" w:hAnsi="宋体"/>
          <w:color w:val="000000"/>
          <w:sz w:val="24"/>
        </w:rPr>
      </w:pPr>
      <w:r>
        <w:rPr>
          <w:rFonts w:hint="eastAsia" w:ascii="宋体" w:hAnsi="宋体"/>
          <w:color w:val="000000"/>
          <w:sz w:val="24"/>
        </w:rPr>
        <w:t>扬州市上善建设工程有限公司：</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pPr>
    </w:p>
    <w:p>
      <w:pPr>
        <w:sectPr>
          <w:headerReference r:id="rId3" w:type="default"/>
          <w:footerReference r:id="rId4" w:type="default"/>
          <w:pgSz w:w="11907" w:h="16840"/>
          <w:pgMar w:top="1247" w:right="1134" w:bottom="1134" w:left="1134" w:header="851" w:footer="992" w:gutter="0"/>
          <w:pgNumType w:fmt="decimal"/>
          <w:cols w:space="720" w:num="1"/>
          <w:docGrid w:type="lines" w:linePitch="312" w:charSpace="0"/>
        </w:sectPr>
      </w:pPr>
    </w:p>
    <w:p/>
    <w:p>
      <w:pPr>
        <w:pStyle w:val="4"/>
      </w:pPr>
    </w:p>
    <w:p/>
    <w:p>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both"/>
        <w:rPr>
          <w:rFonts w:ascii="方正仿宋_GBK" w:hAnsi="方正仿宋_GBK" w:eastAsia="方正仿宋_GBK" w:cs="方正仿宋_GBK"/>
          <w:bCs/>
          <w:color w:val="000000"/>
          <w:sz w:val="24"/>
        </w:rPr>
      </w:pPr>
    </w:p>
    <w:p>
      <w:pPr>
        <w:wordWrap w:val="0"/>
        <w:spacing w:line="360" w:lineRule="auto"/>
        <w:jc w:val="right"/>
        <w:rPr>
          <w:rFonts w:hint="eastAsia" w:ascii="方正仿宋_GBK" w:hAnsi="方正仿宋_GBK" w:eastAsia="方正仿宋_GBK" w:cs="方正仿宋_GBK"/>
          <w:bCs/>
          <w:color w:val="000000"/>
          <w:sz w:val="24"/>
        </w:rPr>
        <w:sectPr>
          <w:headerReference r:id="rId5" w:type="default"/>
          <w:pgSz w:w="11907" w:h="16840"/>
          <w:pgMar w:top="1247" w:right="1134" w:bottom="1134" w:left="1134" w:header="851" w:footer="992" w:gutter="0"/>
          <w:pgNumType w:fmt="decimal" w:start="1"/>
          <w:cols w:space="720" w:num="1"/>
          <w:docGrid w:type="lines" w:linePitch="312" w:charSpace="0"/>
        </w:sectPr>
      </w:pPr>
    </w:p>
    <w:p>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615"/>
        <w:gridCol w:w="1023"/>
        <w:gridCol w:w="829"/>
        <w:gridCol w:w="739"/>
        <w:gridCol w:w="640"/>
        <w:gridCol w:w="1753"/>
        <w:gridCol w:w="155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1" w:hRule="atLeast"/>
        </w:trPr>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3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5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4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8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7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eastAsia="zh-CN"/>
              </w:rPr>
            </w:pPr>
          </w:p>
        </w:tc>
        <w:tc>
          <w:tcPr>
            <w:tcW w:w="3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5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4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8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7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eastAsia="zh-CN"/>
              </w:rPr>
            </w:pPr>
          </w:p>
        </w:tc>
        <w:tc>
          <w:tcPr>
            <w:tcW w:w="837" w:type="pct"/>
            <w:tcBorders>
              <w:top w:val="single" w:color="auto" w:sz="4" w:space="0"/>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157"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2842"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numPr>
          <w:ilvl w:val="0"/>
          <w:numId w:val="4"/>
        </w:numPr>
        <w:spacing w:line="6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工程结束竣工验收后支付材料款的60%（不超过合同价的60%），第二年底后支付材料款的85%（不超过合同价的85%），第三年年底付清余款（两年质保期），以上材料款支付，需满足建设单位工程款已支付且按同比例支付材料款。</w:t>
      </w:r>
    </w:p>
    <w:p>
      <w:pPr>
        <w:pStyle w:val="6"/>
        <w:numPr>
          <w:ilvl w:val="0"/>
          <w:numId w:val="0"/>
        </w:num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napToGrid w:val="0"/>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5"/>
        </w:numPr>
        <w:spacing w:line="640" w:lineRule="exact"/>
        <w:ind w:left="0" w:firstLine="48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eastAsia="zh-CN"/>
        </w:rPr>
        <w:t>工程竣工后，甲方有权将无损货物退还给乙方。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6480" w:firstLineChars="2700"/>
      </w:pPr>
      <w:r>
        <w:rPr>
          <w:rFonts w:hint="eastAsia" w:ascii="方正仿宋_GBK" w:hAnsi="方正仿宋_GBK" w:eastAsia="方正仿宋_GBK" w:cs="方正仿宋_GBK"/>
          <w:sz w:val="24"/>
        </w:rPr>
        <w:t>签订日期：</w:t>
      </w:r>
    </w:p>
    <w:p>
      <w:pPr>
        <w:pStyle w:val="6"/>
        <w:ind w:left="1260"/>
      </w:pPr>
    </w:p>
    <w:p>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pPr>
        <w:pStyle w:val="4"/>
        <w:jc w:val="center"/>
      </w:pPr>
    </w:p>
    <w:sectPr>
      <w:headerReference r:id="rId6" w:type="default"/>
      <w:pgSz w:w="11907" w:h="16840"/>
      <w:pgMar w:top="1247"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方正仿宋_GBK" w:hAnsi="方正仿宋_GBK" w:eastAsia="方正仿宋_GBK" w:cs="方正仿宋_GBK"/>
      </w:rPr>
    </w:pPr>
    <w:r>
      <w:rPr>
        <w:rFonts w:hint="eastAsia" w:ascii="方正仿宋_GBK" w:hAnsi="方正仿宋_GBK" w:eastAsia="方正仿宋_GBK" w:cs="方正仿宋_GBK"/>
      </w:rPr>
      <w:t>扬州市上善建设工程有限公司</w:t>
    </w:r>
  </w:p>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方正仿宋_GBK" w:hAnsi="方正仿宋_GBK" w:eastAsia="方正仿宋_GBK" w:cs="方正仿宋_GBK"/>
      </w:rPr>
    </w:pPr>
    <w:r>
      <w:rPr>
        <w:rFonts w:hint="eastAsia" w:ascii="方正仿宋_GBK" w:hAnsi="方正仿宋_GBK" w:eastAsia="方正仿宋_GBK" w:cs="方正仿宋_GBK"/>
      </w:rPr>
      <w:t>扬州市上善建设工程有限公司</w:t>
    </w: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FC51901D"/>
    <w:multiLevelType w:val="singleLevel"/>
    <w:tmpl w:val="FC51901D"/>
    <w:lvl w:ilvl="0" w:tentative="0">
      <w:start w:val="1"/>
      <w:numFmt w:val="decimal"/>
      <w:suff w:val="nothing"/>
      <w:lvlText w:val="%1、"/>
      <w:lvlJc w:val="left"/>
    </w:lvl>
  </w:abstractNum>
  <w:abstractNum w:abstractNumId="2">
    <w:nsid w:val="14438AB1"/>
    <w:multiLevelType w:val="singleLevel"/>
    <w:tmpl w:val="14438AB1"/>
    <w:lvl w:ilvl="0" w:tentative="0">
      <w:start w:val="2"/>
      <w:numFmt w:val="chineseCounting"/>
      <w:suff w:val="nothing"/>
      <w:lvlText w:val="%1、"/>
      <w:lvlJc w:val="left"/>
      <w:rPr>
        <w:rFonts w:hint="eastAsia"/>
      </w:rPr>
    </w:lvl>
  </w:abstractNum>
  <w:abstractNum w:abstractNumId="3">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1NTE4NmRlNGM2YjQ1ODA1ZTE5NjY4YzI3NDM5NjA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0E62"/>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45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875"/>
    <w:rsid w:val="005B0C92"/>
    <w:rsid w:val="005B2CB2"/>
    <w:rsid w:val="005C0DA9"/>
    <w:rsid w:val="005C1904"/>
    <w:rsid w:val="005C3352"/>
    <w:rsid w:val="005C68F5"/>
    <w:rsid w:val="005D50F4"/>
    <w:rsid w:val="005D5427"/>
    <w:rsid w:val="005D6C67"/>
    <w:rsid w:val="005E5CE2"/>
    <w:rsid w:val="005F4D80"/>
    <w:rsid w:val="0060007D"/>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6808"/>
    <w:rsid w:val="00677656"/>
    <w:rsid w:val="0068025F"/>
    <w:rsid w:val="006802D0"/>
    <w:rsid w:val="0068055B"/>
    <w:rsid w:val="00680D13"/>
    <w:rsid w:val="0068678C"/>
    <w:rsid w:val="00695DA5"/>
    <w:rsid w:val="0069656D"/>
    <w:rsid w:val="006A2BA9"/>
    <w:rsid w:val="006A5A1C"/>
    <w:rsid w:val="006A653C"/>
    <w:rsid w:val="006B0FCE"/>
    <w:rsid w:val="006B0FDD"/>
    <w:rsid w:val="006B281B"/>
    <w:rsid w:val="006B2F9C"/>
    <w:rsid w:val="006B3346"/>
    <w:rsid w:val="006B7A2D"/>
    <w:rsid w:val="006C178A"/>
    <w:rsid w:val="006C21C3"/>
    <w:rsid w:val="006C22F0"/>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07C5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35C4"/>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8490E"/>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59A"/>
    <w:rsid w:val="00F13FC0"/>
    <w:rsid w:val="00F16D1A"/>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0141"/>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C6C9C"/>
    <w:rsid w:val="00FD170F"/>
    <w:rsid w:val="00FD38AE"/>
    <w:rsid w:val="00FD3F6D"/>
    <w:rsid w:val="00FD45BD"/>
    <w:rsid w:val="00FD52D5"/>
    <w:rsid w:val="00FE3802"/>
    <w:rsid w:val="00FF2A54"/>
    <w:rsid w:val="01F77332"/>
    <w:rsid w:val="03920CFE"/>
    <w:rsid w:val="05235BBF"/>
    <w:rsid w:val="057A6F83"/>
    <w:rsid w:val="07B132EE"/>
    <w:rsid w:val="09A23D87"/>
    <w:rsid w:val="0A64315D"/>
    <w:rsid w:val="0C006D9B"/>
    <w:rsid w:val="0C391C75"/>
    <w:rsid w:val="0D046532"/>
    <w:rsid w:val="105E328D"/>
    <w:rsid w:val="12EA5FE1"/>
    <w:rsid w:val="16D64DEC"/>
    <w:rsid w:val="1748310D"/>
    <w:rsid w:val="18282018"/>
    <w:rsid w:val="1D524DB7"/>
    <w:rsid w:val="1E4B2C37"/>
    <w:rsid w:val="1E6225BB"/>
    <w:rsid w:val="21F20BF7"/>
    <w:rsid w:val="224B0819"/>
    <w:rsid w:val="260C121F"/>
    <w:rsid w:val="26E054C2"/>
    <w:rsid w:val="2B4431B2"/>
    <w:rsid w:val="2CA37518"/>
    <w:rsid w:val="2FFE5B53"/>
    <w:rsid w:val="31F0483A"/>
    <w:rsid w:val="32CA33D5"/>
    <w:rsid w:val="33976056"/>
    <w:rsid w:val="339A10EE"/>
    <w:rsid w:val="3B257EFE"/>
    <w:rsid w:val="3C691FB0"/>
    <w:rsid w:val="40AD2D34"/>
    <w:rsid w:val="41423887"/>
    <w:rsid w:val="43BC6694"/>
    <w:rsid w:val="473E02B7"/>
    <w:rsid w:val="49B818C5"/>
    <w:rsid w:val="4AD23574"/>
    <w:rsid w:val="4AE83AA4"/>
    <w:rsid w:val="4AEF0FE5"/>
    <w:rsid w:val="4B7029BB"/>
    <w:rsid w:val="4C3558DD"/>
    <w:rsid w:val="4C9A6422"/>
    <w:rsid w:val="4FE34DE9"/>
    <w:rsid w:val="513F3A5E"/>
    <w:rsid w:val="53F46533"/>
    <w:rsid w:val="56A8222D"/>
    <w:rsid w:val="56F42740"/>
    <w:rsid w:val="58A65A2C"/>
    <w:rsid w:val="58D6764A"/>
    <w:rsid w:val="59B57910"/>
    <w:rsid w:val="5CAF2C65"/>
    <w:rsid w:val="6291178B"/>
    <w:rsid w:val="65EB0E69"/>
    <w:rsid w:val="68537464"/>
    <w:rsid w:val="68541290"/>
    <w:rsid w:val="692927D8"/>
    <w:rsid w:val="6BB34520"/>
    <w:rsid w:val="6D116F45"/>
    <w:rsid w:val="6F186ADA"/>
    <w:rsid w:val="778C2829"/>
    <w:rsid w:val="77D7083D"/>
    <w:rsid w:val="7A546ECE"/>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rPr>
      <w:rFonts w:eastAsia="仿宋_GB2312"/>
      <w:sz w:val="30"/>
    </w:rPr>
  </w:style>
  <w:style w:type="paragraph" w:styleId="5">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5"/>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663</Words>
  <Characters>3784</Characters>
  <Lines>31</Lines>
  <Paragraphs>8</Paragraphs>
  <TotalTime>0</TotalTime>
  <ScaleCrop>false</ScaleCrop>
  <LinksUpToDate>false</LinksUpToDate>
  <CharactersWithSpaces>4439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烏雲</cp:lastModifiedBy>
  <cp:lastPrinted>2023-09-27T09:35:00Z</cp:lastPrinted>
  <dcterms:modified xsi:type="dcterms:W3CDTF">2023-09-28T09:03:10Z</dcterms:modified>
  <dc:title>扬州自来水总公司工程材料招标邀请书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A4019DBC6CF044049767E75F6DB5A3B2</vt:lpwstr>
  </property>
</Properties>
</file>