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扬州市杭集高新区产业园区横一路(暂定名)一期建设工程EPC工程钢筋混凝土管</w:t>
      </w:r>
      <w:bookmarkStart w:id="2" w:name="_GoBack"/>
      <w:bookmarkEnd w:id="2"/>
      <w:r>
        <w:rPr>
          <w:rFonts w:hint="eastAsia" w:ascii="仿宋_GB2312" w:hAnsi="宋体" w:eastAsia="仿宋_GB2312"/>
          <w:b/>
          <w:spacing w:val="28"/>
          <w:sz w:val="52"/>
          <w:szCs w:val="48"/>
          <w:lang w:val="en-US" w:eastAsia="zh-CN"/>
        </w:rPr>
        <w:t>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3</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28</w:t>
      </w:r>
      <w:r>
        <w:rPr>
          <w:rFonts w:hint="eastAsia" w:ascii="仿宋_GB2312" w:hAnsi="宋体" w:eastAsia="仿宋_GB2312"/>
          <w:b/>
          <w:bCs/>
          <w:snapToGrid w:val="0"/>
          <w:color w:val="000000" w:themeColor="text1"/>
          <w:sz w:val="30"/>
          <w14:textFill>
            <w14:solidFill>
              <w14:schemeClr w14:val="tx1"/>
            </w14:solidFill>
          </w14:textFill>
        </w:rPr>
        <w:t>日</w:t>
      </w:r>
    </w:p>
    <w:p w14:paraId="298532C2">
      <w:pPr>
        <w:spacing w:line="360" w:lineRule="auto"/>
        <w:outlineLvl w:val="0"/>
        <w:rPr>
          <w:rFonts w:ascii="宋体" w:hAnsi="宋体"/>
          <w:b/>
          <w:color w:val="000000" w:themeColor="text1"/>
          <w:sz w:val="36"/>
          <w:szCs w:val="36"/>
          <w14:textFill>
            <w14:solidFill>
              <w14:schemeClr w14:val="tx1"/>
            </w14:solidFill>
          </w14:textFill>
        </w:rPr>
      </w:pPr>
    </w:p>
    <w:p w14:paraId="7D8DE5A5">
      <w:pPr>
        <w:rPr>
          <w:color w:val="000000" w:themeColor="text1"/>
          <w14:textFill>
            <w14:solidFill>
              <w14:schemeClr w14:val="tx1"/>
            </w14:solidFill>
          </w14:textFill>
        </w:rPr>
      </w:pPr>
    </w:p>
    <w:p w14:paraId="38536585">
      <w:pPr>
        <w:rPr>
          <w:color w:val="000000" w:themeColor="text1"/>
          <w14:textFill>
            <w14:solidFill>
              <w14:schemeClr w14:val="tx1"/>
            </w14:solidFill>
          </w14:textFill>
        </w:rPr>
      </w:pPr>
    </w:p>
    <w:p w14:paraId="70A966EA">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28</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日</w:t>
            </w:r>
            <w:r>
              <w:rPr>
                <w:rFonts w:hint="eastAsia" w:ascii="宋体" w:hAnsi="宋体" w:cs="Times New Roman"/>
                <w:color w:val="000000" w:themeColor="text1"/>
                <w:szCs w:val="21"/>
                <w:lang w:val="en-US" w:eastAsia="zh-CN"/>
                <w14:textFill>
                  <w14:solidFill>
                    <w14:schemeClr w14:val="tx1"/>
                  </w14:solidFill>
                </w14:textFill>
              </w:rPr>
              <w:t>16</w:t>
            </w:r>
            <w:r>
              <w:rPr>
                <w:rFonts w:hint="eastAsia" w:ascii="宋体" w:hAnsi="宋体" w:cs="Times New Roman"/>
                <w:color w:val="000000" w:themeColor="text1"/>
                <w:szCs w:val="21"/>
                <w14:textFill>
                  <w14:solidFill>
                    <w14:schemeClr w14:val="tx1"/>
                  </w14:solidFill>
                </w14:textFill>
              </w:rPr>
              <w:t>点00分（北京时间）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20"/>
        <w:gridCol w:w="1245"/>
        <w:gridCol w:w="1095"/>
        <w:gridCol w:w="9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220"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245"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1095"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220"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钢筋混凝土管</w:t>
            </w:r>
          </w:p>
        </w:tc>
        <w:tc>
          <w:tcPr>
            <w:tcW w:w="1245" w:type="dxa"/>
            <w:vAlign w:val="center"/>
          </w:tcPr>
          <w:p w14:paraId="495645EC">
            <w:pPr>
              <w:jc w:val="center"/>
              <w:rPr>
                <w:rFonts w:hint="default"/>
                <w:vertAlign w:val="baseline"/>
                <w:lang w:val="en-US" w:eastAsia="zh-CN"/>
              </w:rPr>
            </w:pPr>
            <w:r>
              <w:rPr>
                <w:rFonts w:hint="default"/>
                <w:vertAlign w:val="baseline"/>
                <w:lang w:val="en-US" w:eastAsia="zh-CN"/>
              </w:rPr>
              <w:t>φ800</w:t>
            </w:r>
          </w:p>
        </w:tc>
        <w:tc>
          <w:tcPr>
            <w:tcW w:w="109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212</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290</w:t>
            </w:r>
          </w:p>
        </w:tc>
        <w:tc>
          <w:tcPr>
            <w:tcW w:w="1089"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61408</w:t>
            </w:r>
          </w:p>
        </w:tc>
        <w:tc>
          <w:tcPr>
            <w:tcW w:w="1245" w:type="dxa"/>
            <w:vAlign w:val="center"/>
          </w:tcPr>
          <w:p w14:paraId="70D475DE">
            <w:pPr>
              <w:jc w:val="center"/>
              <w:rPr>
                <w:rFonts w:hint="default"/>
                <w:vertAlign w:val="baseline"/>
                <w:lang w:val="en-US" w:eastAsia="zh-CN"/>
              </w:rPr>
            </w:pPr>
            <w:r>
              <w:rPr>
                <w:rFonts w:hint="eastAsia"/>
                <w:vertAlign w:val="baseline"/>
                <w:lang w:val="en-US" w:eastAsia="zh-CN"/>
              </w:rPr>
              <w:t>含胶圈</w:t>
            </w:r>
          </w:p>
        </w:tc>
      </w:tr>
      <w:tr w14:paraId="1A84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04DD5CF4">
            <w:pPr>
              <w:jc w:val="center"/>
              <w:rPr>
                <w:rFonts w:hint="default"/>
                <w:vertAlign w:val="baseline"/>
                <w:lang w:val="en-US" w:eastAsia="zh-CN"/>
              </w:rPr>
            </w:pPr>
            <w:r>
              <w:rPr>
                <w:rFonts w:hint="eastAsia"/>
                <w:vertAlign w:val="baseline"/>
                <w:lang w:val="en-US" w:eastAsia="zh-CN"/>
              </w:rPr>
              <w:t>2</w:t>
            </w:r>
          </w:p>
        </w:tc>
        <w:tc>
          <w:tcPr>
            <w:tcW w:w="2220" w:type="dxa"/>
            <w:vAlign w:val="center"/>
          </w:tcPr>
          <w:p w14:paraId="4C5A57C0">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钢筋混凝土管</w:t>
            </w:r>
          </w:p>
        </w:tc>
        <w:tc>
          <w:tcPr>
            <w:tcW w:w="1245" w:type="dxa"/>
            <w:vAlign w:val="center"/>
          </w:tcPr>
          <w:p w14:paraId="20E42D5A">
            <w:pPr>
              <w:jc w:val="center"/>
              <w:rPr>
                <w:rFonts w:hint="eastAsia"/>
                <w:vertAlign w:val="baseline"/>
                <w:lang w:val="en-US" w:eastAsia="zh-CN"/>
              </w:rPr>
            </w:pPr>
            <w:r>
              <w:rPr>
                <w:rFonts w:hint="default"/>
                <w:vertAlign w:val="baseline"/>
                <w:lang w:val="en-US" w:eastAsia="zh-CN"/>
              </w:rPr>
              <w:t>φ</w:t>
            </w:r>
            <w:r>
              <w:rPr>
                <w:rFonts w:hint="eastAsia"/>
                <w:vertAlign w:val="baseline"/>
                <w:lang w:val="en-US" w:eastAsia="zh-CN"/>
              </w:rPr>
              <w:t>1000</w:t>
            </w:r>
          </w:p>
        </w:tc>
        <w:tc>
          <w:tcPr>
            <w:tcW w:w="1095" w:type="dxa"/>
            <w:shd w:val="clear" w:color="auto" w:fill="auto"/>
            <w:vAlign w:val="center"/>
          </w:tcPr>
          <w:p w14:paraId="4F964601">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614AF5E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292</w:t>
            </w:r>
          </w:p>
        </w:tc>
        <w:tc>
          <w:tcPr>
            <w:tcW w:w="1177" w:type="dxa"/>
            <w:shd w:val="clear" w:color="auto" w:fill="auto"/>
            <w:vAlign w:val="center"/>
          </w:tcPr>
          <w:p w14:paraId="4AA61FA0">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470</w:t>
            </w:r>
          </w:p>
        </w:tc>
        <w:tc>
          <w:tcPr>
            <w:tcW w:w="1089" w:type="dxa"/>
            <w:vAlign w:val="center"/>
          </w:tcPr>
          <w:p w14:paraId="6C18E513">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137240</w:t>
            </w:r>
          </w:p>
        </w:tc>
        <w:tc>
          <w:tcPr>
            <w:tcW w:w="1245" w:type="dxa"/>
            <w:vAlign w:val="center"/>
          </w:tcPr>
          <w:p w14:paraId="4DD2B83F">
            <w:pPr>
              <w:jc w:val="center"/>
              <w:rPr>
                <w:rFonts w:hint="default"/>
                <w:vertAlign w:val="baseline"/>
                <w:lang w:val="en-US" w:eastAsia="zh-CN"/>
              </w:rPr>
            </w:pPr>
            <w:r>
              <w:rPr>
                <w:rFonts w:hint="eastAsia"/>
                <w:vertAlign w:val="baseline"/>
                <w:lang w:val="en-US" w:eastAsia="zh-CN"/>
              </w:rPr>
              <w:t>含胶圈</w:t>
            </w:r>
          </w:p>
        </w:tc>
      </w:tr>
      <w:tr w14:paraId="6DA7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AD54446">
            <w:pPr>
              <w:jc w:val="center"/>
              <w:rPr>
                <w:rFonts w:hint="default"/>
                <w:vertAlign w:val="baseline"/>
                <w:lang w:val="en-US" w:eastAsia="zh-CN"/>
              </w:rPr>
            </w:pPr>
            <w:r>
              <w:rPr>
                <w:rFonts w:hint="eastAsia"/>
                <w:vertAlign w:val="baseline"/>
                <w:lang w:val="en-US" w:eastAsia="zh-CN"/>
              </w:rPr>
              <w:t>3</w:t>
            </w:r>
          </w:p>
        </w:tc>
        <w:tc>
          <w:tcPr>
            <w:tcW w:w="2220" w:type="dxa"/>
            <w:vAlign w:val="center"/>
          </w:tcPr>
          <w:p w14:paraId="3FAD3D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钢筋混凝土管</w:t>
            </w:r>
          </w:p>
        </w:tc>
        <w:tc>
          <w:tcPr>
            <w:tcW w:w="1245" w:type="dxa"/>
            <w:vAlign w:val="center"/>
          </w:tcPr>
          <w:p w14:paraId="7CF94765">
            <w:pPr>
              <w:jc w:val="center"/>
              <w:rPr>
                <w:rFonts w:hint="default"/>
                <w:vertAlign w:val="baseline"/>
                <w:lang w:val="en-US" w:eastAsia="zh-CN"/>
              </w:rPr>
            </w:pPr>
            <w:r>
              <w:rPr>
                <w:rFonts w:hint="default"/>
                <w:vertAlign w:val="baseline"/>
                <w:lang w:val="en-US" w:eastAsia="zh-CN"/>
              </w:rPr>
              <w:t>φ1200</w:t>
            </w:r>
          </w:p>
        </w:tc>
        <w:tc>
          <w:tcPr>
            <w:tcW w:w="1095" w:type="dxa"/>
            <w:shd w:val="clear" w:color="auto" w:fill="auto"/>
            <w:vAlign w:val="center"/>
          </w:tcPr>
          <w:p w14:paraId="60BD4F8E">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6D8CA55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262</w:t>
            </w:r>
          </w:p>
        </w:tc>
        <w:tc>
          <w:tcPr>
            <w:tcW w:w="1177" w:type="dxa"/>
            <w:shd w:val="clear" w:color="auto" w:fill="auto"/>
            <w:vAlign w:val="center"/>
          </w:tcPr>
          <w:p w14:paraId="1973C7B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620</w:t>
            </w:r>
          </w:p>
        </w:tc>
        <w:tc>
          <w:tcPr>
            <w:tcW w:w="1089" w:type="dxa"/>
            <w:vAlign w:val="center"/>
          </w:tcPr>
          <w:p w14:paraId="0A1B9D5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162440</w:t>
            </w:r>
          </w:p>
        </w:tc>
        <w:tc>
          <w:tcPr>
            <w:tcW w:w="1245" w:type="dxa"/>
            <w:vAlign w:val="center"/>
          </w:tcPr>
          <w:p w14:paraId="787376E6">
            <w:pPr>
              <w:jc w:val="center"/>
              <w:rPr>
                <w:rFonts w:hint="default"/>
                <w:vertAlign w:val="baseline"/>
                <w:lang w:val="en-US" w:eastAsia="zh-CN"/>
              </w:rPr>
            </w:pPr>
            <w:r>
              <w:rPr>
                <w:rFonts w:hint="eastAsia"/>
                <w:vertAlign w:val="baseline"/>
                <w:lang w:val="en-US" w:eastAsia="zh-CN"/>
              </w:rPr>
              <w:t>含胶圈</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462B7B2">
            <w:pPr>
              <w:jc w:val="center"/>
              <w:rPr>
                <w:rFonts w:hint="default"/>
                <w:vertAlign w:val="baseline"/>
                <w:lang w:val="en-US" w:eastAsia="zh-CN"/>
              </w:rPr>
            </w:pPr>
            <w:r>
              <w:rPr>
                <w:rFonts w:hint="eastAsia"/>
                <w:vertAlign w:val="baseline"/>
                <w:lang w:val="en-US" w:eastAsia="zh-CN"/>
              </w:rPr>
              <w:t>4</w:t>
            </w:r>
          </w:p>
        </w:tc>
        <w:tc>
          <w:tcPr>
            <w:tcW w:w="2220"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钢筋混凝土管</w:t>
            </w:r>
          </w:p>
        </w:tc>
        <w:tc>
          <w:tcPr>
            <w:tcW w:w="1245" w:type="dxa"/>
            <w:vAlign w:val="center"/>
          </w:tcPr>
          <w:p w14:paraId="317C8DB3">
            <w:pPr>
              <w:jc w:val="center"/>
              <w:rPr>
                <w:rFonts w:hint="default"/>
                <w:vertAlign w:val="baseline"/>
                <w:lang w:val="en-US" w:eastAsia="zh-CN"/>
              </w:rPr>
            </w:pPr>
            <w:r>
              <w:rPr>
                <w:rFonts w:hint="default"/>
                <w:vertAlign w:val="baseline"/>
                <w:lang w:val="en-US" w:eastAsia="zh-CN"/>
              </w:rPr>
              <w:t>φ1500</w:t>
            </w:r>
          </w:p>
        </w:tc>
        <w:tc>
          <w:tcPr>
            <w:tcW w:w="109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106</w:t>
            </w: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910</w:t>
            </w:r>
          </w:p>
        </w:tc>
        <w:tc>
          <w:tcPr>
            <w:tcW w:w="1089" w:type="dxa"/>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96460</w:t>
            </w:r>
          </w:p>
        </w:tc>
        <w:tc>
          <w:tcPr>
            <w:tcW w:w="1245" w:type="dxa"/>
            <w:vAlign w:val="center"/>
          </w:tcPr>
          <w:p w14:paraId="629E1A63">
            <w:pPr>
              <w:jc w:val="center"/>
              <w:rPr>
                <w:rFonts w:hint="default"/>
                <w:vertAlign w:val="baseline"/>
                <w:lang w:val="en-US" w:eastAsia="zh-CN"/>
              </w:rPr>
            </w:pPr>
            <w:r>
              <w:rPr>
                <w:rFonts w:hint="eastAsia"/>
                <w:vertAlign w:val="baseline"/>
                <w:lang w:val="en-US" w:eastAsia="zh-CN"/>
              </w:rPr>
              <w:t>含胶圈</w:t>
            </w:r>
          </w:p>
        </w:tc>
      </w:tr>
      <w:tr w14:paraId="31A6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FB98238">
            <w:pPr>
              <w:jc w:val="center"/>
              <w:rPr>
                <w:rFonts w:hint="default"/>
                <w:vertAlign w:val="baseline"/>
                <w:lang w:val="en-US" w:eastAsia="zh-CN"/>
              </w:rPr>
            </w:pPr>
            <w:r>
              <w:rPr>
                <w:rFonts w:hint="eastAsia"/>
                <w:vertAlign w:val="baseline"/>
                <w:lang w:val="en-US" w:eastAsia="zh-CN"/>
              </w:rPr>
              <w:t>5</w:t>
            </w:r>
          </w:p>
        </w:tc>
        <w:tc>
          <w:tcPr>
            <w:tcW w:w="2220" w:type="dxa"/>
            <w:vAlign w:val="center"/>
          </w:tcPr>
          <w:p w14:paraId="3A2DDF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钢筋混凝土排水管(承插口)</w:t>
            </w:r>
          </w:p>
        </w:tc>
        <w:tc>
          <w:tcPr>
            <w:tcW w:w="1245" w:type="dxa"/>
            <w:vAlign w:val="center"/>
          </w:tcPr>
          <w:p w14:paraId="4B8616D6">
            <w:pPr>
              <w:jc w:val="center"/>
              <w:rPr>
                <w:rFonts w:hint="default"/>
                <w:vertAlign w:val="baseline"/>
                <w:lang w:val="en-US" w:eastAsia="zh-CN"/>
              </w:rPr>
            </w:pPr>
            <w:r>
              <w:rPr>
                <w:rFonts w:hint="default"/>
                <w:vertAlign w:val="baseline"/>
                <w:lang w:val="en-US" w:eastAsia="zh-CN"/>
              </w:rPr>
              <w:t>D=600</w:t>
            </w:r>
          </w:p>
        </w:tc>
        <w:tc>
          <w:tcPr>
            <w:tcW w:w="1095" w:type="dxa"/>
            <w:shd w:val="clear" w:color="auto" w:fill="auto"/>
            <w:vAlign w:val="center"/>
          </w:tcPr>
          <w:p w14:paraId="4E0A64C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11FA04F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354</w:t>
            </w:r>
          </w:p>
        </w:tc>
        <w:tc>
          <w:tcPr>
            <w:tcW w:w="1177" w:type="dxa"/>
            <w:shd w:val="clear" w:color="auto" w:fill="auto"/>
            <w:vAlign w:val="center"/>
          </w:tcPr>
          <w:p w14:paraId="16695CA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170</w:t>
            </w:r>
          </w:p>
        </w:tc>
        <w:tc>
          <w:tcPr>
            <w:tcW w:w="1089" w:type="dxa"/>
            <w:vAlign w:val="center"/>
          </w:tcPr>
          <w:p w14:paraId="14FBA00D">
            <w:pPr>
              <w:jc w:val="center"/>
              <w:rPr>
                <w:rFonts w:hint="default"/>
                <w:vertAlign w:val="baseline"/>
                <w:lang w:val="en-US" w:eastAsia="zh-CN"/>
              </w:rPr>
            </w:pPr>
            <w:r>
              <w:rPr>
                <w:rFonts w:hint="eastAsia"/>
                <w:vertAlign w:val="baseline"/>
                <w:lang w:val="en-US" w:eastAsia="zh-CN"/>
              </w:rPr>
              <w:t>60180</w:t>
            </w:r>
          </w:p>
        </w:tc>
        <w:tc>
          <w:tcPr>
            <w:tcW w:w="1245" w:type="dxa"/>
            <w:vAlign w:val="center"/>
          </w:tcPr>
          <w:p w14:paraId="7AD6AA29">
            <w:pPr>
              <w:jc w:val="center"/>
              <w:rPr>
                <w:rFonts w:hint="default"/>
                <w:vertAlign w:val="baseline"/>
                <w:lang w:val="en-US" w:eastAsia="zh-CN"/>
              </w:rPr>
            </w:pPr>
            <w:r>
              <w:rPr>
                <w:rFonts w:hint="eastAsia"/>
                <w:vertAlign w:val="baseline"/>
                <w:lang w:val="en-US" w:eastAsia="zh-CN"/>
              </w:rPr>
              <w:t>含胶圈</w:t>
            </w:r>
          </w:p>
        </w:tc>
      </w:tr>
      <w:tr w14:paraId="2885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B6A4134">
            <w:pPr>
              <w:jc w:val="center"/>
              <w:rPr>
                <w:rFonts w:hint="eastAsia"/>
                <w:vertAlign w:val="baseline"/>
                <w:lang w:val="en-US" w:eastAsia="zh-CN"/>
              </w:rPr>
            </w:pPr>
            <w:r>
              <w:rPr>
                <w:rFonts w:hint="eastAsia"/>
                <w:vertAlign w:val="baseline"/>
                <w:lang w:val="en-US" w:eastAsia="zh-CN"/>
              </w:rPr>
              <w:t>合计</w:t>
            </w:r>
          </w:p>
        </w:tc>
        <w:tc>
          <w:tcPr>
            <w:tcW w:w="2220" w:type="dxa"/>
            <w:vAlign w:val="center"/>
          </w:tcPr>
          <w:p w14:paraId="51F741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5" w:type="dxa"/>
            <w:vAlign w:val="center"/>
          </w:tcPr>
          <w:p w14:paraId="098E0C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095" w:type="dxa"/>
            <w:shd w:val="clear" w:color="auto" w:fill="auto"/>
            <w:vAlign w:val="center"/>
          </w:tcPr>
          <w:p w14:paraId="188C1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4" w:type="dxa"/>
            <w:vAlign w:val="center"/>
          </w:tcPr>
          <w:p w14:paraId="4FB7B5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7" w:type="dxa"/>
            <w:shd w:val="clear" w:color="auto" w:fill="auto"/>
            <w:vAlign w:val="center"/>
          </w:tcPr>
          <w:p w14:paraId="2C4BC5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89" w:type="dxa"/>
            <w:vAlign w:val="center"/>
          </w:tcPr>
          <w:p w14:paraId="0A036A0B">
            <w:pPr>
              <w:jc w:val="center"/>
              <w:rPr>
                <w:rFonts w:hint="default"/>
                <w:vertAlign w:val="baseline"/>
                <w:lang w:val="en-US" w:eastAsia="zh-CN"/>
              </w:rPr>
            </w:pPr>
            <w:r>
              <w:rPr>
                <w:rFonts w:hint="eastAsia"/>
                <w:vertAlign w:val="baseline"/>
                <w:lang w:val="en-US" w:eastAsia="zh-CN"/>
              </w:rPr>
              <w:t>517800</w:t>
            </w:r>
          </w:p>
        </w:tc>
        <w:tc>
          <w:tcPr>
            <w:tcW w:w="1245" w:type="dxa"/>
            <w:vAlign w:val="center"/>
          </w:tcPr>
          <w:p w14:paraId="0C9D53E6">
            <w:pPr>
              <w:jc w:val="center"/>
              <w:rPr>
                <w:rFonts w:hint="default"/>
                <w:vertAlign w:val="baseline"/>
                <w:lang w:val="en-US" w:eastAsia="zh-CN"/>
              </w:rPr>
            </w:pPr>
          </w:p>
        </w:tc>
      </w:tr>
    </w:tbl>
    <w:p w14:paraId="397B3679">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2</w:t>
      </w:r>
      <w:r>
        <w:rPr>
          <w:rFonts w:hint="eastAsia"/>
          <w:lang w:val="en-US" w:eastAsia="zh-CN"/>
        </w:rPr>
        <w:t>、</w:t>
      </w:r>
      <w:r>
        <w:rPr>
          <w:rFonts w:hint="eastAsia" w:ascii="宋体" w:hAnsi="宋体"/>
          <w:color w:val="FF0000"/>
          <w:szCs w:val="21"/>
          <w:lang w:val="en-US" w:eastAsia="zh-CN"/>
        </w:rPr>
        <w:t>结算方式：中标材料单价（含13%税）*对应材料数量=结算总价（含13%税）</w:t>
      </w:r>
    </w:p>
    <w:p w14:paraId="608DD67B">
      <w:pPr>
        <w:pStyle w:val="2"/>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技术参数：</w:t>
      </w:r>
      <w:r>
        <w:rPr>
          <w:rFonts w:hint="eastAsia" w:ascii="宋体" w:hAnsi="宋体" w:eastAsia="宋体" w:cs="宋体"/>
          <w:b w:val="0"/>
          <w:bCs/>
          <w:sz w:val="21"/>
          <w:szCs w:val="21"/>
        </w:rPr>
        <w:t>d600-d1200雨水管道、d800污水套管管材采用钢筋混凝土Ⅱ级排水管,接口采用承插式橡胶圈接口,详见06MS201-1-P23；d1500雨水套管管材采用钢筋混凝土Ⅱ级柔性接口企口管，接口采用滑动橡胶圈接口，详见06MS201-1-P24；钢筋混凝土Ⅱ级承插式口管规格详见GBT11836-2023-P3; 钢筋混凝土Ⅱ级柔性接口企口管规格详见GBT11836-2023-P23，管材应符合国标《混凝土和 钢筋混凝土排水管》 (GB/T11836-2023)要求，其配筋应符合《给水排水工程埋地预制混凝土圆形 管管道结构设计标准》 (T/CECS143-2022)；以上管道接口橡胶圈的性能要求详见06MS201-1-P40, 根据国标橡胶圈性能指标要求，橡胶圈的公称硬度50，拉伸强度≥9MPa，扯断伸长率≥375%。</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6、投标单位须提供一般纳税人证明。</w:t>
      </w:r>
    </w:p>
    <w:p w14:paraId="6509A4F1">
      <w:pPr>
        <w:autoSpaceDE w:val="0"/>
        <w:autoSpaceDN w:val="0"/>
        <w:adjustRightInd w:val="0"/>
        <w:snapToGrid w:val="0"/>
        <w:spacing w:line="480" w:lineRule="exact"/>
        <w:ind w:firstLine="630" w:firstLineChars="300"/>
        <w:rPr>
          <w:rFonts w:hint="eastAsia"/>
          <w:lang w:val="en-US" w:eastAsia="zh-CN"/>
        </w:rPr>
      </w:pPr>
      <w:r>
        <w:rPr>
          <w:rFonts w:hint="eastAsia" w:ascii="宋体" w:hAnsi="宋体"/>
          <w:szCs w:val="21"/>
          <w:lang w:val="en-US" w:eastAsia="zh-CN"/>
        </w:rPr>
        <w:t>7、投标单位须提供1份近</w:t>
      </w:r>
      <w:r>
        <w:rPr>
          <w:rFonts w:hint="eastAsia"/>
          <w:lang w:val="en-US" w:eastAsia="zh-CN"/>
        </w:rPr>
        <w:t>3年</w:t>
      </w:r>
      <w:r>
        <w:rPr>
          <w:rFonts w:hint="default"/>
          <w:vertAlign w:val="baseline"/>
          <w:lang w:val="en-US" w:eastAsia="zh-CN"/>
        </w:rPr>
        <w:t>钢筋混凝土管</w:t>
      </w:r>
      <w:r>
        <w:rPr>
          <w:rFonts w:hint="eastAsia"/>
          <w:lang w:val="en-US" w:eastAsia="zh-CN"/>
        </w:rPr>
        <w:t>材料供货业绩（合同金额35万元及以上），提供合同和发票复印件加盖公章，评标委员会会根据投标方提供的发票号码，在国家税务总局全国增值税发票查询平台进行核实，如发现一次虚假将作为废标处理”。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12B622E4">
      <w:pPr>
        <w:pStyle w:val="8"/>
        <w:ind w:left="0" w:leftChars="0" w:firstLine="0" w:firstLineChars="0"/>
        <w:rPr>
          <w:rFonts w:hint="eastAsia" w:ascii="宋体" w:hAnsi="宋体"/>
          <w:color w:val="000000"/>
          <w:szCs w:val="21"/>
        </w:rPr>
      </w:pPr>
    </w:p>
    <w:p w14:paraId="54C84EBD">
      <w:pPr>
        <w:rPr>
          <w:rFonts w:hint="eastAsia" w:ascii="宋体" w:hAnsi="宋体"/>
          <w:color w:val="000000"/>
          <w:szCs w:val="21"/>
        </w:rPr>
      </w:pPr>
    </w:p>
    <w:p w14:paraId="6EA2CC2C">
      <w:pPr>
        <w:pStyle w:val="2"/>
        <w:rPr>
          <w:rFonts w:hint="eastAsia"/>
        </w:rPr>
      </w:pPr>
    </w:p>
    <w:p w14:paraId="5D0C103A">
      <w:pPr>
        <w:pStyle w:val="3"/>
        <w:rPr>
          <w:rFonts w:hint="eastAsia" w:ascii="宋体" w:hAnsi="宋体"/>
          <w:color w:val="000000"/>
          <w:szCs w:val="21"/>
        </w:rPr>
      </w:pPr>
    </w:p>
    <w:p w14:paraId="0056613D">
      <w:pPr>
        <w:pStyle w:val="3"/>
        <w:rPr>
          <w:rFonts w:hint="eastAsia" w:ascii="宋体" w:hAnsi="宋体"/>
          <w:color w:val="000000"/>
          <w:szCs w:val="21"/>
        </w:rPr>
      </w:pPr>
    </w:p>
    <w:p w14:paraId="7DEDEB88">
      <w:pPr>
        <w:pStyle w:val="3"/>
        <w:rPr>
          <w:rFonts w:hint="eastAsia" w:ascii="宋体" w:hAnsi="宋体"/>
          <w:color w:val="000000"/>
          <w:szCs w:val="21"/>
        </w:rPr>
      </w:pPr>
    </w:p>
    <w:p w14:paraId="0DC05F76">
      <w:pPr>
        <w:pStyle w:val="3"/>
        <w:rPr>
          <w:rFonts w:hint="eastAsia" w:ascii="宋体" w:hAnsi="宋体"/>
          <w:color w:val="000000"/>
          <w:szCs w:val="21"/>
        </w:rPr>
      </w:pPr>
    </w:p>
    <w:p w14:paraId="50EEF357">
      <w:pPr>
        <w:pStyle w:val="3"/>
        <w:rPr>
          <w:rFonts w:hint="eastAsia" w:ascii="宋体" w:hAnsi="宋体"/>
          <w:color w:val="000000"/>
          <w:szCs w:val="21"/>
        </w:rPr>
      </w:pPr>
    </w:p>
    <w:p w14:paraId="062F667B">
      <w:pPr>
        <w:pStyle w:val="3"/>
        <w:rPr>
          <w:rFonts w:hint="eastAsia" w:ascii="宋体" w:hAnsi="宋体"/>
          <w:color w:val="000000"/>
          <w:szCs w:val="21"/>
        </w:rPr>
      </w:pPr>
    </w:p>
    <w:p w14:paraId="4D045229">
      <w:pPr>
        <w:pStyle w:val="3"/>
        <w:rPr>
          <w:rFonts w:hint="eastAsia" w:ascii="宋体" w:hAnsi="宋体"/>
          <w:color w:val="000000"/>
          <w:szCs w:val="21"/>
        </w:rPr>
      </w:pPr>
    </w:p>
    <w:p w14:paraId="7309A1A7">
      <w:pPr>
        <w:pStyle w:val="3"/>
        <w:rPr>
          <w:rFonts w:hint="eastAsia" w:ascii="宋体" w:hAnsi="宋体"/>
          <w:color w:val="000000"/>
          <w:szCs w:val="21"/>
        </w:rPr>
      </w:pPr>
    </w:p>
    <w:p w14:paraId="09531F39">
      <w:pPr>
        <w:pStyle w:val="3"/>
        <w:rPr>
          <w:rFonts w:hint="eastAsia" w:ascii="宋体" w:hAnsi="宋体"/>
          <w:color w:val="000000"/>
          <w:szCs w:val="21"/>
        </w:rPr>
      </w:pPr>
    </w:p>
    <w:p w14:paraId="27833D83">
      <w:pPr>
        <w:pStyle w:val="3"/>
        <w:rPr>
          <w:rFonts w:hint="eastAsia" w:ascii="宋体" w:hAnsi="宋体"/>
          <w:color w:val="000000"/>
          <w:szCs w:val="21"/>
        </w:rPr>
      </w:pPr>
    </w:p>
    <w:p w14:paraId="49060739">
      <w:pPr>
        <w:pStyle w:val="3"/>
        <w:rPr>
          <w:rFonts w:hint="eastAsia" w:ascii="宋体" w:hAnsi="宋体"/>
          <w:color w:val="000000"/>
          <w:szCs w:val="21"/>
        </w:rPr>
      </w:pPr>
    </w:p>
    <w:p w14:paraId="2A6404CE">
      <w:pPr>
        <w:pStyle w:val="3"/>
        <w:rPr>
          <w:rFonts w:hint="eastAsia" w:ascii="宋体" w:hAnsi="宋体"/>
          <w:color w:val="000000"/>
          <w:szCs w:val="21"/>
        </w:rPr>
      </w:pPr>
    </w:p>
    <w:p w14:paraId="776505F0">
      <w:pPr>
        <w:pStyle w:val="3"/>
        <w:rPr>
          <w:rFonts w:hint="eastAsia" w:ascii="宋体" w:hAnsi="宋体"/>
          <w:color w:val="000000"/>
          <w:szCs w:val="21"/>
        </w:rPr>
      </w:pPr>
    </w:p>
    <w:p w14:paraId="3C1E5BEF">
      <w:pPr>
        <w:pStyle w:val="3"/>
        <w:rPr>
          <w:rFonts w:hint="eastAsia" w:ascii="宋体" w:hAnsi="宋体"/>
          <w:color w:val="000000"/>
          <w:szCs w:val="21"/>
        </w:rPr>
      </w:pPr>
    </w:p>
    <w:p w14:paraId="28E7AC00">
      <w:pPr>
        <w:pStyle w:val="3"/>
        <w:rPr>
          <w:rFonts w:hint="eastAsia" w:ascii="宋体" w:hAnsi="宋体"/>
          <w:color w:val="000000"/>
          <w:szCs w:val="21"/>
        </w:rPr>
      </w:pPr>
    </w:p>
    <w:p w14:paraId="3320ABD8">
      <w:pPr>
        <w:pStyle w:val="3"/>
        <w:rPr>
          <w:rFonts w:hint="eastAsia" w:ascii="宋体" w:hAnsi="宋体"/>
          <w:color w:val="000000"/>
          <w:szCs w:val="21"/>
        </w:rPr>
      </w:pPr>
    </w:p>
    <w:p w14:paraId="2C2C08C8">
      <w:pPr>
        <w:pStyle w:val="3"/>
        <w:rPr>
          <w:rFonts w:hint="eastAsia" w:ascii="宋体" w:hAnsi="宋体"/>
          <w:color w:val="000000"/>
          <w:szCs w:val="21"/>
        </w:rPr>
      </w:pPr>
    </w:p>
    <w:p w14:paraId="4A2D4553">
      <w:pPr>
        <w:pStyle w:val="3"/>
        <w:rPr>
          <w:rFonts w:hint="eastAsia" w:ascii="宋体" w:hAnsi="宋体"/>
          <w:color w:val="000000"/>
          <w:szCs w:val="21"/>
        </w:rPr>
      </w:pPr>
    </w:p>
    <w:p w14:paraId="52CCE40B">
      <w:pPr>
        <w:pStyle w:val="3"/>
        <w:rPr>
          <w:rFonts w:hint="eastAsia" w:ascii="宋体" w:hAnsi="宋体"/>
          <w:color w:val="000000"/>
          <w:szCs w:val="21"/>
        </w:rPr>
      </w:pPr>
    </w:p>
    <w:p w14:paraId="4CF107AD">
      <w:pPr>
        <w:pStyle w:val="3"/>
        <w:rPr>
          <w:rFonts w:hint="eastAsia" w:ascii="宋体" w:hAnsi="宋体"/>
          <w:color w:val="000000"/>
          <w:szCs w:val="21"/>
        </w:rPr>
      </w:pPr>
    </w:p>
    <w:p w14:paraId="6E281A51">
      <w:pPr>
        <w:pStyle w:val="3"/>
        <w:rPr>
          <w:rFonts w:hint="eastAsia" w:ascii="宋体" w:hAnsi="宋体"/>
          <w:color w:val="000000"/>
          <w:szCs w:val="21"/>
        </w:rPr>
      </w:pPr>
    </w:p>
    <w:p w14:paraId="7EE52B2D">
      <w:pPr>
        <w:pStyle w:val="3"/>
        <w:rPr>
          <w:rFonts w:hint="eastAsia" w:ascii="宋体" w:hAnsi="宋体"/>
          <w:color w:val="000000"/>
          <w:szCs w:val="21"/>
        </w:rPr>
      </w:pPr>
    </w:p>
    <w:p w14:paraId="5C4B0E45">
      <w:pPr>
        <w:pStyle w:val="3"/>
        <w:rPr>
          <w:rFonts w:hint="eastAsia" w:ascii="宋体" w:hAnsi="宋体"/>
          <w:color w:val="000000"/>
          <w:szCs w:val="21"/>
        </w:rPr>
      </w:pPr>
    </w:p>
    <w:p w14:paraId="39E378B0">
      <w:pPr>
        <w:pStyle w:val="3"/>
        <w:rPr>
          <w:rFonts w:hint="eastAsia" w:ascii="宋体" w:hAnsi="宋体"/>
          <w:color w:val="000000"/>
          <w:szCs w:val="21"/>
        </w:rPr>
      </w:pPr>
    </w:p>
    <w:p w14:paraId="1D55A6B0">
      <w:pPr>
        <w:pStyle w:val="3"/>
        <w:rPr>
          <w:rFonts w:hint="eastAsia" w:ascii="宋体" w:hAnsi="宋体"/>
          <w:color w:val="000000"/>
          <w:szCs w:val="21"/>
        </w:rPr>
      </w:pPr>
    </w:p>
    <w:p w14:paraId="4A75B79B">
      <w:pPr>
        <w:pStyle w:val="3"/>
        <w:rPr>
          <w:rFonts w:hint="eastAsia" w:ascii="宋体" w:hAnsi="宋体"/>
          <w:color w:val="000000"/>
          <w:szCs w:val="21"/>
        </w:rPr>
      </w:pPr>
    </w:p>
    <w:p w14:paraId="2376EA4D">
      <w:pPr>
        <w:pStyle w:val="3"/>
        <w:rPr>
          <w:rFonts w:hint="eastAsia" w:ascii="宋体" w:hAnsi="宋体"/>
          <w:color w:val="000000"/>
          <w:szCs w:val="21"/>
        </w:rPr>
      </w:pPr>
    </w:p>
    <w:p w14:paraId="6198D20B">
      <w:pPr>
        <w:pStyle w:val="3"/>
        <w:rPr>
          <w:rFonts w:hint="eastAsia" w:ascii="宋体" w:hAnsi="宋体"/>
          <w:color w:val="000000"/>
          <w:szCs w:val="21"/>
        </w:rPr>
      </w:pPr>
    </w:p>
    <w:p w14:paraId="16A3428E">
      <w:pPr>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1D37E0A2">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01"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0AABD1F">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0"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0"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0"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1"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1"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1"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3939FAE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0"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0"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6AD1796">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9A23D87"/>
    <w:rsid w:val="0C006D9B"/>
    <w:rsid w:val="0C391C75"/>
    <w:rsid w:val="0C460641"/>
    <w:rsid w:val="0D046532"/>
    <w:rsid w:val="0E5A3EAC"/>
    <w:rsid w:val="10167F1D"/>
    <w:rsid w:val="105E328D"/>
    <w:rsid w:val="118916FB"/>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C21A64"/>
    <w:rsid w:val="1EC92A20"/>
    <w:rsid w:val="1F0E4671"/>
    <w:rsid w:val="206C021E"/>
    <w:rsid w:val="20A951E7"/>
    <w:rsid w:val="20CA13E8"/>
    <w:rsid w:val="22E23D79"/>
    <w:rsid w:val="260C121F"/>
    <w:rsid w:val="26BA2DC8"/>
    <w:rsid w:val="26E30BFE"/>
    <w:rsid w:val="28E66D39"/>
    <w:rsid w:val="2A32072A"/>
    <w:rsid w:val="2B4431B2"/>
    <w:rsid w:val="2CA37518"/>
    <w:rsid w:val="2FFE5B53"/>
    <w:rsid w:val="31A368A5"/>
    <w:rsid w:val="31F0483A"/>
    <w:rsid w:val="3220530C"/>
    <w:rsid w:val="32CA33D5"/>
    <w:rsid w:val="33976056"/>
    <w:rsid w:val="34804ED0"/>
    <w:rsid w:val="34EC7159"/>
    <w:rsid w:val="377C1237"/>
    <w:rsid w:val="37AF7C77"/>
    <w:rsid w:val="3B257EFE"/>
    <w:rsid w:val="3BD010C0"/>
    <w:rsid w:val="3C646ABC"/>
    <w:rsid w:val="3C691FB0"/>
    <w:rsid w:val="3CA8662A"/>
    <w:rsid w:val="3D1E68EC"/>
    <w:rsid w:val="3F8E7211"/>
    <w:rsid w:val="3FF839D9"/>
    <w:rsid w:val="41423887"/>
    <w:rsid w:val="416B77DA"/>
    <w:rsid w:val="420F0EF1"/>
    <w:rsid w:val="43BC6694"/>
    <w:rsid w:val="442567B2"/>
    <w:rsid w:val="455547FD"/>
    <w:rsid w:val="4582210E"/>
    <w:rsid w:val="45A1630C"/>
    <w:rsid w:val="46E953C6"/>
    <w:rsid w:val="48711A0E"/>
    <w:rsid w:val="4883384F"/>
    <w:rsid w:val="48AB7822"/>
    <w:rsid w:val="49050C67"/>
    <w:rsid w:val="49066914"/>
    <w:rsid w:val="49B818C5"/>
    <w:rsid w:val="4AD23574"/>
    <w:rsid w:val="4AE83AA4"/>
    <w:rsid w:val="4AEF0FE5"/>
    <w:rsid w:val="4B7029BB"/>
    <w:rsid w:val="4C3558DD"/>
    <w:rsid w:val="4CA44D12"/>
    <w:rsid w:val="4FE34DE9"/>
    <w:rsid w:val="50B6349B"/>
    <w:rsid w:val="50D92A99"/>
    <w:rsid w:val="511B5891"/>
    <w:rsid w:val="513F3A5E"/>
    <w:rsid w:val="516A7EFA"/>
    <w:rsid w:val="523634E2"/>
    <w:rsid w:val="53A92F5C"/>
    <w:rsid w:val="563034C0"/>
    <w:rsid w:val="56A8222D"/>
    <w:rsid w:val="571E1031"/>
    <w:rsid w:val="58A65CBC"/>
    <w:rsid w:val="58D6764A"/>
    <w:rsid w:val="59B57910"/>
    <w:rsid w:val="59D52356"/>
    <w:rsid w:val="5D582E82"/>
    <w:rsid w:val="5D9E7564"/>
    <w:rsid w:val="5E445D2E"/>
    <w:rsid w:val="5F795ED8"/>
    <w:rsid w:val="6279082B"/>
    <w:rsid w:val="62C31218"/>
    <w:rsid w:val="6370314E"/>
    <w:rsid w:val="64747F00"/>
    <w:rsid w:val="64FD6B36"/>
    <w:rsid w:val="65EB0E69"/>
    <w:rsid w:val="66746855"/>
    <w:rsid w:val="667F60B7"/>
    <w:rsid w:val="66F35A29"/>
    <w:rsid w:val="678F10BD"/>
    <w:rsid w:val="68537464"/>
    <w:rsid w:val="68C57F09"/>
    <w:rsid w:val="6BBB4685"/>
    <w:rsid w:val="6CF272CA"/>
    <w:rsid w:val="6D0131CD"/>
    <w:rsid w:val="6D116F45"/>
    <w:rsid w:val="6EE658EC"/>
    <w:rsid w:val="6FA2234A"/>
    <w:rsid w:val="6FC00FB9"/>
    <w:rsid w:val="6FD30157"/>
    <w:rsid w:val="715916C6"/>
    <w:rsid w:val="726C5429"/>
    <w:rsid w:val="72BF21D0"/>
    <w:rsid w:val="749018A2"/>
    <w:rsid w:val="75F0011F"/>
    <w:rsid w:val="7686731E"/>
    <w:rsid w:val="778C2829"/>
    <w:rsid w:val="77D7083D"/>
    <w:rsid w:val="77E9764D"/>
    <w:rsid w:val="78135BBF"/>
    <w:rsid w:val="78387804"/>
    <w:rsid w:val="7A546ECE"/>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8867</Words>
  <Characters>9202</Characters>
  <Lines>30</Lines>
  <Paragraphs>8</Paragraphs>
  <TotalTime>0</TotalTime>
  <ScaleCrop>false</ScaleCrop>
  <LinksUpToDate>false</LinksUpToDate>
  <CharactersWithSpaces>10346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t0kU1s</cp:lastModifiedBy>
  <cp:lastPrinted>2025-01-10T03:22:00Z</cp:lastPrinted>
  <dcterms:modified xsi:type="dcterms:W3CDTF">2025-03-28T09:01:53Z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148BD89ACE5F4A97A301BAE002BE96C7_13</vt:lpwstr>
  </property>
  <property fmtid="{D5CDD505-2E9C-101B-9397-08002B2CF9AE}" pid="4" name="KSOTemplateDocerSaveRecord">
    <vt:lpwstr>eyJoZGlkIjoiNDc0MDcwOWE5ZTRkMGViZDAwMzFkNjZkZWE3ZTA5YmEiLCJ1c2VySWQiOiIyNTk0NzE4NjYifQ==</vt:lpwstr>
  </property>
</Properties>
</file>