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bookmarkStart w:id="2" w:name="_GoBack"/>
      <w:r>
        <w:rPr>
          <w:rFonts w:hint="eastAsia" w:ascii="仿宋_GB2312" w:hAnsi="宋体" w:eastAsia="仿宋_GB2312"/>
          <w:b/>
          <w:spacing w:val="28"/>
          <w:sz w:val="52"/>
          <w:szCs w:val="48"/>
        </w:rPr>
        <w:t>金泰路道路改造工程水稳材料</w:t>
      </w:r>
      <w:r>
        <w:rPr>
          <w:rFonts w:ascii="仿宋_GB2312" w:hAnsi="宋体" w:eastAsia="仿宋_GB2312"/>
          <w:b/>
          <w:spacing w:val="28"/>
          <w:sz w:val="52"/>
          <w:szCs w:val="48"/>
        </w:rPr>
        <w:t>采购</w:t>
      </w:r>
      <w:bookmarkEnd w:id="2"/>
    </w:p>
    <w:p>
      <w:pPr>
        <w:adjustRightInd w:val="0"/>
        <w:snapToGrid w:val="0"/>
        <w:spacing w:line="360" w:lineRule="auto"/>
        <w:ind w:firstLine="3468" w:firstLineChars="600"/>
        <w:jc w:val="center"/>
        <w:rPr>
          <w:rFonts w:ascii="仿宋_GB2312" w:hAnsi="宋体" w:eastAsia="仿宋_GB2312"/>
          <w:b/>
          <w:spacing w:val="28"/>
          <w:sz w:val="52"/>
          <w:szCs w:val="48"/>
        </w:rPr>
      </w:pPr>
    </w:p>
    <w:p>
      <w:pPr>
        <w:pStyle w:val="2"/>
        <w:ind w:left="1260"/>
      </w:pPr>
    </w:p>
    <w:p/>
    <w:p>
      <w:pPr>
        <w:pStyle w:val="2"/>
        <w:ind w:left="1260"/>
      </w:pPr>
    </w:p>
    <w:p/>
    <w:p>
      <w:pPr>
        <w:pStyle w:val="2"/>
        <w:ind w:left="1260"/>
      </w:pPr>
    </w:p>
    <w:p/>
    <w:p>
      <w:pPr>
        <w:pStyle w:val="2"/>
        <w:ind w:left="1260"/>
      </w:pPr>
    </w:p>
    <w:p/>
    <w:p>
      <w:pPr>
        <w:pStyle w:val="2"/>
        <w:ind w:left="1260"/>
      </w:pPr>
    </w:p>
    <w:p>
      <w:pPr>
        <w:adjustRightInd w:val="0"/>
        <w:snapToGrid w:val="0"/>
        <w:spacing w:line="360" w:lineRule="auto"/>
        <w:ind w:firstLine="3757" w:firstLineChars="650"/>
        <w:jc w:val="left"/>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jc w:val="center"/>
      </w:pPr>
    </w:p>
    <w:p>
      <w:pPr>
        <w:jc w:val="center"/>
      </w:pPr>
    </w:p>
    <w:p>
      <w:pPr>
        <w:adjustRightInd w:val="0"/>
        <w:snapToGrid w:val="0"/>
        <w:spacing w:line="360" w:lineRule="auto"/>
        <w:ind w:firstLine="1446" w:firstLineChars="200"/>
        <w:jc w:val="center"/>
        <w:rPr>
          <w:rFonts w:ascii="仿宋_GB2312" w:hAnsi="宋体" w:eastAsia="仿宋_GB2312"/>
          <w:b/>
          <w:snapToGrid w:val="0"/>
          <w:sz w:val="72"/>
        </w:rPr>
      </w:pPr>
    </w:p>
    <w:p>
      <w:pPr>
        <w:pStyle w:val="2"/>
        <w:ind w:left="0" w:leftChars="0"/>
        <w:jc w:val="center"/>
      </w:pPr>
    </w:p>
    <w:p>
      <w:pPr>
        <w:jc w:val="center"/>
      </w:pPr>
    </w:p>
    <w:p>
      <w:pPr>
        <w:pStyle w:val="2"/>
        <w:ind w:left="1260"/>
      </w:pPr>
    </w:p>
    <w:p/>
    <w:p>
      <w:pPr>
        <w:pStyle w:val="2"/>
        <w:ind w:left="1260"/>
        <w:jc w:val="center"/>
      </w:pPr>
    </w:p>
    <w:p>
      <w:pPr>
        <w:jc w:val="center"/>
      </w:pPr>
    </w:p>
    <w:p>
      <w:pPr>
        <w:pStyle w:val="2"/>
        <w:ind w:left="1260"/>
        <w:jc w:val="center"/>
      </w:pPr>
    </w:p>
    <w:p>
      <w:pPr>
        <w:jc w:val="left"/>
      </w:pPr>
    </w:p>
    <w:p>
      <w:pPr>
        <w:adjustRightInd w:val="0"/>
        <w:snapToGrid w:val="0"/>
        <w:spacing w:line="480" w:lineRule="auto"/>
        <w:ind w:firstLine="1494" w:firstLineChars="496"/>
        <w:jc w:val="left"/>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jc w:val="left"/>
        <w:rPr>
          <w:rFonts w:eastAsia="黑体"/>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2022</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8 </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8</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日</w:t>
      </w:r>
    </w:p>
    <w:p>
      <w:pPr>
        <w:pStyle w:val="2"/>
        <w:ind w:left="0" w:leftChars="0"/>
        <w:jc w:val="center"/>
      </w:pPr>
    </w:p>
    <w:p>
      <w:pPr>
        <w:spacing w:line="360" w:lineRule="auto"/>
        <w:jc w:val="center"/>
        <w:outlineLvl w:val="0"/>
        <w:rPr>
          <w:rFonts w:ascii="宋体" w:hAnsi="宋体"/>
          <w:b/>
          <w:sz w:val="36"/>
          <w:szCs w:val="36"/>
        </w:rPr>
      </w:pPr>
    </w:p>
    <w:p>
      <w:pPr>
        <w:spacing w:line="360" w:lineRule="auto"/>
        <w:outlineLvl w:val="0"/>
        <w:rPr>
          <w:rFonts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金泰路道路工程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详见招标清单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固定单价报价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最高限价</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详见最高限价表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中标签订合同后按采购方要求时间供货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从投标截止日起30天内有效，如中标，有效期将延至合同终止日。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szCs w:val="21"/>
              </w:rPr>
            </w:pPr>
            <w:r>
              <w:rPr>
                <w:rFonts w:hint="eastAsia" w:ascii="宋体" w:hAnsi="宋体"/>
                <w:szCs w:val="21"/>
              </w:rPr>
              <w:t xml:space="preserve">2022年 8月  </w:t>
            </w:r>
            <w:r>
              <w:rPr>
                <w:rFonts w:hint="eastAsia" w:ascii="宋体" w:hAnsi="宋体"/>
                <w:szCs w:val="21"/>
                <w:lang w:val="en-US" w:eastAsia="zh-CN"/>
              </w:rPr>
              <w:t>10</w:t>
            </w:r>
            <w:r>
              <w:rPr>
                <w:rFonts w:hint="eastAsia" w:ascii="宋体" w:hAnsi="宋体"/>
                <w:szCs w:val="21"/>
              </w:rPr>
              <w:t xml:space="preserve"> 日下午 5:00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话：18952758166</w:t>
            </w:r>
          </w:p>
          <w:p>
            <w:pPr>
              <w:adjustRightInd w:val="0"/>
              <w:spacing w:line="380" w:lineRule="exact"/>
              <w:rPr>
                <w:rFonts w:ascii="宋体" w:hAnsi="宋体"/>
                <w:szCs w:val="21"/>
              </w:rPr>
            </w:pPr>
            <w:r>
              <w:rPr>
                <w:rFonts w:hint="eastAsia" w:ascii="宋体" w:hAnsi="宋体"/>
                <w:szCs w:val="21"/>
              </w:rPr>
              <w:t>联系人：陈佩</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因泰安镇金泰路改造工程需采购水稳材料一批</w:t>
      </w:r>
      <w:r>
        <w:rPr>
          <w:rFonts w:hint="eastAsia"/>
        </w:rPr>
        <w:t>，详见招标清单</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ind w:left="0" w:leftChars="0" w:firstLine="630" w:firstLineChars="300"/>
      </w:pPr>
      <w:r>
        <w:rPr>
          <w:rFonts w:hint="eastAsia"/>
        </w:rPr>
        <w:t>4.3本项目不允许联合体投标</w:t>
      </w:r>
    </w:p>
    <w:p>
      <w:pPr>
        <w:pStyle w:val="2"/>
        <w:ind w:left="0" w:leftChars="0"/>
      </w:pPr>
    </w:p>
    <w:p>
      <w:pPr>
        <w:pStyle w:val="2"/>
        <w:ind w:left="0" w:leftChars="0"/>
      </w:pP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3"/>
        </w:numPr>
        <w:autoSpaceDE w:val="0"/>
        <w:autoSpaceDN w:val="0"/>
        <w:adjustRightInd w:val="0"/>
        <w:snapToGrid w:val="0"/>
        <w:spacing w:line="480" w:lineRule="exact"/>
        <w:ind w:firstLine="774" w:firstLineChars="367"/>
        <w:jc w:val="left"/>
        <w:rPr>
          <w:rFonts w:ascii="宋体" w:hAnsi="宋体"/>
          <w:b/>
          <w:szCs w:val="21"/>
        </w:rPr>
      </w:pPr>
      <w:r>
        <w:rPr>
          <w:rFonts w:hint="eastAsia" w:ascii="宋体" w:hAnsi="宋体"/>
          <w:b/>
          <w:szCs w:val="21"/>
        </w:rPr>
        <w:t>符合国家相关质量标准。</w:t>
      </w:r>
    </w:p>
    <w:p>
      <w:pPr>
        <w:pStyle w:val="2"/>
        <w:ind w:left="417" w:leftChars="0" w:firstLine="843" w:firstLineChars="400"/>
        <w:rPr>
          <w:rFonts w:ascii="宋体" w:hAnsi="宋体"/>
          <w:b/>
          <w:szCs w:val="21"/>
        </w:rPr>
      </w:pPr>
    </w:p>
    <w:p>
      <w:pPr>
        <w:pStyle w:val="2"/>
        <w:ind w:left="0" w:leftChars="0" w:firstLine="843" w:firstLineChars="400"/>
        <w:rPr>
          <w:rFonts w:ascii="宋体" w:hAnsi="宋体"/>
          <w:b/>
          <w:szCs w:val="21"/>
        </w:rPr>
      </w:pPr>
      <w:r>
        <w:rPr>
          <w:rFonts w:hint="eastAsia" w:ascii="宋体" w:hAnsi="宋体"/>
          <w:b/>
          <w:szCs w:val="21"/>
        </w:rPr>
        <w:t>2、</w:t>
      </w:r>
    </w:p>
    <w:p>
      <w:pPr>
        <w:pStyle w:val="2"/>
        <w:ind w:left="1260"/>
      </w:pPr>
    </w:p>
    <w:p>
      <w:pPr>
        <w:pStyle w:val="2"/>
        <w:ind w:left="0" w:leftChars="0"/>
        <w:rPr>
          <w:rFonts w:ascii="宋体" w:hAnsi="宋体"/>
          <w:b/>
          <w:szCs w:val="21"/>
        </w:rPr>
      </w:pPr>
      <w:r>
        <w:rPr>
          <w:rFonts w:hint="eastAsia" w:ascii="宋体" w:hAnsi="宋体"/>
          <w:b/>
          <w:szCs w:val="21"/>
        </w:rPr>
        <w:t>工程名称：金泰路道路改造工程（最高限价含13%税）</w:t>
      </w:r>
    </w:p>
    <w:tbl>
      <w:tblPr>
        <w:tblStyle w:val="14"/>
        <w:tblW w:w="9512" w:type="dxa"/>
        <w:tblInd w:w="93" w:type="dxa"/>
        <w:tblLayout w:type="fixed"/>
        <w:tblCellMar>
          <w:top w:w="0" w:type="dxa"/>
          <w:left w:w="108" w:type="dxa"/>
          <w:bottom w:w="0" w:type="dxa"/>
          <w:right w:w="108" w:type="dxa"/>
        </w:tblCellMar>
      </w:tblPr>
      <w:tblGrid>
        <w:gridCol w:w="555"/>
        <w:gridCol w:w="2012"/>
        <w:gridCol w:w="3969"/>
        <w:gridCol w:w="709"/>
        <w:gridCol w:w="992"/>
        <w:gridCol w:w="1275"/>
      </w:tblGrid>
      <w:tr>
        <w:tblPrEx>
          <w:tblCellMar>
            <w:top w:w="0" w:type="dxa"/>
            <w:left w:w="108" w:type="dxa"/>
            <w:bottom w:w="0" w:type="dxa"/>
            <w:right w:w="108" w:type="dxa"/>
          </w:tblCellMar>
        </w:tblPrEx>
        <w:trPr>
          <w:trHeight w:val="510" w:hRule="atLeast"/>
        </w:trPr>
        <w:tc>
          <w:tcPr>
            <w:tcW w:w="555" w:type="dxa"/>
            <w:tcBorders>
              <w:top w:val="single" w:color="auto" w:sz="4" w:space="0"/>
              <w:left w:val="single" w:color="000000" w:sz="8" w:space="0"/>
              <w:bottom w:val="single" w:color="auto" w:sz="4" w:space="0"/>
              <w:right w:val="single" w:color="000000"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      序号</w:t>
            </w:r>
          </w:p>
        </w:tc>
        <w:tc>
          <w:tcPr>
            <w:tcW w:w="2012" w:type="dxa"/>
            <w:tcBorders>
              <w:top w:val="single" w:color="auto" w:sz="4" w:space="0"/>
              <w:left w:val="nil"/>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材料名称</w:t>
            </w:r>
          </w:p>
        </w:tc>
        <w:tc>
          <w:tcPr>
            <w:tcW w:w="396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规格、型号等要求</w:t>
            </w:r>
          </w:p>
        </w:tc>
        <w:tc>
          <w:tcPr>
            <w:tcW w:w="709" w:type="dxa"/>
            <w:tcBorders>
              <w:top w:val="single" w:color="000000" w:sz="8" w:space="0"/>
              <w:left w:val="single" w:color="auto" w:sz="4" w:space="0"/>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单位</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数量</w:t>
            </w:r>
          </w:p>
        </w:tc>
        <w:tc>
          <w:tcPr>
            <w:tcW w:w="1275"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单价(13%税)</w:t>
            </w:r>
          </w:p>
        </w:tc>
      </w:tr>
      <w:tr>
        <w:tblPrEx>
          <w:tblCellMar>
            <w:top w:w="0" w:type="dxa"/>
            <w:left w:w="108" w:type="dxa"/>
            <w:bottom w:w="0" w:type="dxa"/>
            <w:right w:w="108" w:type="dxa"/>
          </w:tblCellMar>
        </w:tblPrEx>
        <w:trPr>
          <w:trHeight w:val="27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01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水泥稳定碎石</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水泥含量为4.0%、碎石配比按规范要求</w:t>
            </w:r>
          </w:p>
        </w:tc>
        <w:tc>
          <w:tcPr>
            <w:tcW w:w="70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FF0000"/>
                <w:kern w:val="0"/>
                <w:szCs w:val="21"/>
              </w:rPr>
            </w:pPr>
            <w:r>
              <w:rPr>
                <w:rFonts w:hint="eastAsia" w:ascii="宋体" w:hAnsi="宋体" w:cs="宋体"/>
                <w:color w:val="FF0000"/>
                <w:kern w:val="0"/>
                <w:szCs w:val="21"/>
              </w:rPr>
              <w:t>1712</w:t>
            </w:r>
          </w:p>
        </w:tc>
        <w:tc>
          <w:tcPr>
            <w:tcW w:w="1275"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color w:val="FF0000"/>
                <w:kern w:val="0"/>
                <w:szCs w:val="21"/>
              </w:rPr>
            </w:pPr>
            <w:r>
              <w:rPr>
                <w:rFonts w:hint="eastAsia" w:ascii="宋体" w:hAnsi="宋体" w:cs="宋体"/>
                <w:color w:val="FF0000"/>
                <w:kern w:val="0"/>
                <w:szCs w:val="21"/>
              </w:rPr>
              <w:t>185</w:t>
            </w:r>
          </w:p>
        </w:tc>
      </w:tr>
    </w:tbl>
    <w:p>
      <w:pPr>
        <w:pStyle w:val="2"/>
        <w:ind w:left="0" w:leftChars="0"/>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1、投标单位应根据清单货物名称样式数量及尺寸要求等含13%税报价让利，报价含摊铺费用。</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2、本次招标的合格投标人应同时满足下列资格要求：</w:t>
      </w:r>
    </w:p>
    <w:p>
      <w:pPr>
        <w:autoSpaceDE w:val="0"/>
        <w:autoSpaceDN w:val="0"/>
        <w:adjustRightInd w:val="0"/>
        <w:snapToGrid w:val="0"/>
        <w:spacing w:line="480" w:lineRule="exact"/>
        <w:ind w:left="525" w:leftChars="250" w:firstLine="140" w:firstLineChars="67"/>
        <w:rPr>
          <w:rFonts w:ascii="宋体" w:hAnsi="宋体"/>
          <w:szCs w:val="21"/>
        </w:rPr>
      </w:pPr>
      <w:r>
        <w:rPr>
          <w:rFonts w:hint="eastAsia" w:ascii="宋体" w:hAnsi="宋体"/>
          <w:szCs w:val="21"/>
        </w:rPr>
        <w:t>（1）投标单位须具有独立法人资格，招标内容在其营业执照的经营范围内，提供营业执照（复印件）。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3、投标文件一份，必须用不能擦去的墨水书写或打印。应装订成册。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w:t>
      </w:r>
      <w:r>
        <w:rPr>
          <w:rFonts w:hint="eastAsia" w:ascii="宋体" w:hAnsi="宋体" w:cs="宋体"/>
          <w:color w:val="FF0000"/>
          <w:szCs w:val="21"/>
          <w:shd w:val="clear" w:color="auto" w:fill="FFFFFF"/>
        </w:rPr>
        <w:t>、本工程采用</w:t>
      </w:r>
      <w:r>
        <w:rPr>
          <w:rFonts w:hint="eastAsia" w:ascii="宋体" w:hAnsi="宋体" w:cs="宋体"/>
          <w:color w:val="FF0000"/>
          <w:szCs w:val="21"/>
          <w:u w:val="single"/>
          <w:shd w:val="clear" w:color="auto" w:fill="FFFFFF"/>
        </w:rPr>
        <w:t xml:space="preserve"> 固定单价 </w:t>
      </w:r>
      <w:r>
        <w:rPr>
          <w:rFonts w:hint="eastAsia" w:ascii="宋体" w:hAnsi="宋体" w:cs="宋体"/>
          <w:color w:val="FF0000"/>
          <w:szCs w:val="21"/>
          <w:shd w:val="clear" w:color="auto" w:fill="FFFFFF"/>
        </w:rPr>
        <w:t>报价方式</w:t>
      </w:r>
      <w:r>
        <w:rPr>
          <w:rFonts w:hint="eastAsia" w:ascii="宋体" w:hAnsi="宋体" w:cs="宋体"/>
          <w:color w:val="FF0000"/>
          <w:szCs w:val="21"/>
        </w:rPr>
        <w:t>，包含</w:t>
      </w:r>
      <w:r>
        <w:rPr>
          <w:rFonts w:hint="eastAsia" w:ascii="宋体" w:hAnsi="宋体" w:cs="宋体"/>
          <w:bCs/>
          <w:color w:val="FF0000"/>
          <w:szCs w:val="21"/>
        </w:rPr>
        <w:t>运抵招标人项目现场，验收合格，卸货至招标人指定位置并摊铺到位，含税等一切费用，</w:t>
      </w:r>
      <w:r>
        <w:rPr>
          <w:rFonts w:hint="eastAsia" w:ascii="宋体" w:hAnsi="宋体" w:cs="宋体"/>
          <w:color w:val="FF0000"/>
          <w:szCs w:val="21"/>
        </w:rPr>
        <w:t>最终结算总价根据最终实际采购数量和让利后的单价确定。</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3、评标小组采用总价合理低价评分法确定中标人。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①产品名称、数量（按实际结算）、单价（含运保杂费）、供货时间。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spacing w:line="720" w:lineRule="exact"/>
        <w:rPr>
          <w:rFonts w:ascii="楷体_GB2312" w:eastAsia="楷体_GB2312"/>
          <w:b/>
          <w:color w:val="000000"/>
          <w:sz w:val="30"/>
        </w:rPr>
      </w:pPr>
    </w:p>
    <w:p>
      <w:pPr>
        <w:pStyle w:val="2"/>
        <w:ind w:left="1260"/>
      </w:pPr>
    </w:p>
    <w:p/>
    <w:p>
      <w:pPr>
        <w:pStyle w:val="2"/>
        <w:ind w:left="1260"/>
      </w:pPr>
    </w:p>
    <w:p/>
    <w:p>
      <w:pPr>
        <w:pStyle w:val="2"/>
        <w:ind w:left="1260"/>
      </w:pPr>
    </w:p>
    <w:p/>
    <w:p>
      <w:pPr>
        <w:pStyle w:val="2"/>
        <w:ind w:left="1260"/>
      </w:pPr>
    </w:p>
    <w:p/>
    <w:p>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000000"/>
          <w:sz w:val="24"/>
          <w:u w:val="single"/>
        </w:rPr>
        <w:t xml:space="preserve">（币种及金额）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交 货 期</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2、此表一式两份，按招标文件要求封装，装入正本袋中。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年月日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spacing w:line="360" w:lineRule="auto"/>
        <w:ind w:firstLine="5498" w:firstLineChars="2291"/>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501" w:firstLineChars="2291"/>
        <w:rPr>
          <w:rFonts w:ascii="方正仿宋_GBK" w:hAnsi="方正仿宋_GBK" w:eastAsia="方正仿宋_GBK" w:cs="方正仿宋_GBK"/>
          <w:b/>
          <w:bCs/>
          <w:color w:val="000000"/>
          <w:sz w:val="24"/>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wordWrap w:val="0"/>
        <w:spacing w:line="360" w:lineRule="auto"/>
        <w:jc w:val="right"/>
        <w:rPr>
          <w:rFonts w:ascii="方正小标宋_GBK" w:hAnsi="宋体" w:eastAsia="方正仿宋_GBK"/>
          <w:b/>
          <w:bCs/>
          <w:color w:val="000000"/>
          <w:sz w:val="36"/>
          <w:szCs w:val="36"/>
          <w:u w:val="single"/>
        </w:rPr>
      </w:pPr>
      <w:r>
        <w:rPr>
          <w:rFonts w:hint="eastAsia" w:ascii="方正仿宋_GBK" w:hAnsi="方正仿宋_GBK" w:eastAsia="方正仿宋_GBK" w:cs="方正仿宋_GBK"/>
          <w:bCs/>
          <w:color w:val="000000"/>
          <w:sz w:val="24"/>
        </w:rPr>
        <w:t>合同编号：</w:t>
      </w:r>
    </w:p>
    <w:p>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pPr>
        <w:spacing w:line="360" w:lineRule="auto"/>
        <w:jc w:val="center"/>
        <w:rPr>
          <w:rFonts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依照《中华人民共和国民法典》及国家相关法律、法规规定，遵循平等、自愿、公平和诚实信用的原则，甲、乙方就工程的事宜协商达成一致，制定本合同。</w:t>
      </w:r>
    </w:p>
    <w:p>
      <w:pPr>
        <w:spacing w:afterLines="50"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（含13%税）</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0"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0"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(含/不含)运费，采用固定单价时，单价不予调整。</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ascii="方正仿宋_GBK" w:hAnsi="方正仿宋_GBK" w:eastAsia="方正仿宋_GBK" w:cs="方正仿宋_GBK"/>
          <w:bCs/>
          <w:color w:val="0000FF"/>
          <w:sz w:val="24"/>
          <w:highlight w:val="yellow"/>
          <w:u w:val="single"/>
        </w:rPr>
      </w:pPr>
      <w:r>
        <w:rPr>
          <w:rFonts w:hint="eastAsia" w:ascii="方正仿宋_GBK" w:hAnsi="方正仿宋_GBK" w:eastAsia="方正仿宋_GBK" w:cs="方正仿宋_GBK"/>
          <w:sz w:val="24"/>
        </w:rPr>
        <w:t>（2）付款方式：无预付款，工程完工付至50%，竣工验收合格后付至80%，审计结束后付至审计工作量的97%，两年质保期满后付清尾款（无息）。</w:t>
      </w:r>
    </w:p>
    <w:p>
      <w:p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（3）核对完成后乙方开具相应金额的增值税 发票，税率</w:t>
      </w:r>
      <w:r>
        <w:rPr>
          <w:rFonts w:hint="eastAsia" w:ascii="方正仿宋_GBK" w:hAnsi="方正仿宋_GBK" w:eastAsia="方正仿宋_GBK" w:cs="方正仿宋_GBK"/>
          <w:spacing w:val="4"/>
          <w:sz w:val="24"/>
        </w:rPr>
        <w:t>为%，税金由乙方承担，乙方必须确保发票票面信息全部真实，相关货款品目、价款等内容与本合同相一致，甲方在收到乙方开具的符合合同约定的发票后给付货款。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姓名：顾涛</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接收地址：扬州市上善建设工程有限公司物资机械部</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联系方式：18932370025</w:t>
      </w:r>
    </w:p>
    <w:p>
      <w:pPr>
        <w:spacing w:line="640" w:lineRule="exact"/>
        <w:ind w:firstLine="480"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0"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0"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1"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1"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1"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 扬州市上善建设工程有限公司</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址：扬州市立新路14号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行：工行东关</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号：1108020509000000617</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电话：0514-82980082</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315" w:firstLineChars="150"/>
        <w:rPr>
          <w:rFonts w:ascii="方正仿宋_GBK" w:hAnsi="方正仿宋_GBK" w:eastAsia="方正仿宋_GBK" w:cs="方正仿宋_GBK"/>
          <w:szCs w:val="28"/>
        </w:rPr>
      </w:pPr>
    </w:p>
    <w:p>
      <w:pPr>
        <w:spacing w:line="360" w:lineRule="auto"/>
        <w:jc w:val="center"/>
      </w:pPr>
      <w:r>
        <w:rPr>
          <w:rFonts w:hint="eastAsia" w:ascii="方正仿宋_GBK" w:hAnsi="方正仿宋_GBK" w:eastAsia="方正仿宋_GBK" w:cs="方正仿宋_GBK"/>
          <w:sz w:val="24"/>
        </w:rPr>
        <w:t>签订日期：</w:t>
      </w:r>
    </w:p>
    <w:p>
      <w:pPr>
        <w:pStyle w:val="2"/>
        <w:ind w:left="1260"/>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5F2ACEF4-50A1-46A2-9B03-AF52D18CF75D}"/>
  </w:font>
  <w:font w:name="方正仿宋_GBK">
    <w:altName w:val="微软雅黑"/>
    <w:panose1 w:val="02000000000000000000"/>
    <w:charset w:val="86"/>
    <w:family w:val="auto"/>
    <w:pitch w:val="default"/>
    <w:sig w:usb0="00000000" w:usb1="00000000" w:usb2="00082016" w:usb3="00000000" w:csb0="00040001" w:csb1="00000000"/>
    <w:embedRegular r:id="rId2" w:fontKey="{8CB00A8C-2ECC-450D-AE14-3F8E5D7313E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9FDC7"/>
    <w:multiLevelType w:val="singleLevel"/>
    <w:tmpl w:val="8729FDC7"/>
    <w:lvl w:ilvl="0" w:tentative="0">
      <w:start w:val="1"/>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2YmZlNDcwMjA0NzY1OGJhYjUyMTFhZjAwNzg2MGUifQ=="/>
  </w:docVars>
  <w:rsids>
    <w:rsidRoot w:val="00224C83"/>
    <w:rsid w:val="00002D23"/>
    <w:rsid w:val="00003464"/>
    <w:rsid w:val="000057D8"/>
    <w:rsid w:val="00012512"/>
    <w:rsid w:val="00012FD2"/>
    <w:rsid w:val="00017610"/>
    <w:rsid w:val="00025FC0"/>
    <w:rsid w:val="00031D5F"/>
    <w:rsid w:val="00040B75"/>
    <w:rsid w:val="00042AEB"/>
    <w:rsid w:val="0006415F"/>
    <w:rsid w:val="00067DB1"/>
    <w:rsid w:val="000706A2"/>
    <w:rsid w:val="00085EA4"/>
    <w:rsid w:val="0009202D"/>
    <w:rsid w:val="000956DB"/>
    <w:rsid w:val="000A791F"/>
    <w:rsid w:val="000B58C3"/>
    <w:rsid w:val="000B6384"/>
    <w:rsid w:val="000C36F1"/>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13AF8"/>
    <w:rsid w:val="00117559"/>
    <w:rsid w:val="00117A82"/>
    <w:rsid w:val="0012174A"/>
    <w:rsid w:val="001235CA"/>
    <w:rsid w:val="0012618D"/>
    <w:rsid w:val="00131447"/>
    <w:rsid w:val="00133938"/>
    <w:rsid w:val="00136521"/>
    <w:rsid w:val="00136905"/>
    <w:rsid w:val="00137146"/>
    <w:rsid w:val="001417F7"/>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14A"/>
    <w:rsid w:val="00305FCC"/>
    <w:rsid w:val="0030614D"/>
    <w:rsid w:val="00313EEE"/>
    <w:rsid w:val="00326515"/>
    <w:rsid w:val="00326BC8"/>
    <w:rsid w:val="003272D0"/>
    <w:rsid w:val="003329AB"/>
    <w:rsid w:val="003407B3"/>
    <w:rsid w:val="00364634"/>
    <w:rsid w:val="003647C7"/>
    <w:rsid w:val="00365353"/>
    <w:rsid w:val="00371EF7"/>
    <w:rsid w:val="0037604A"/>
    <w:rsid w:val="0038069A"/>
    <w:rsid w:val="00392C13"/>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131C6"/>
    <w:rsid w:val="004177C1"/>
    <w:rsid w:val="00421F8A"/>
    <w:rsid w:val="00426905"/>
    <w:rsid w:val="004332DE"/>
    <w:rsid w:val="00436126"/>
    <w:rsid w:val="004426CF"/>
    <w:rsid w:val="004434D1"/>
    <w:rsid w:val="00443F30"/>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B7C0A"/>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02D1A"/>
    <w:rsid w:val="00611C06"/>
    <w:rsid w:val="0061322E"/>
    <w:rsid w:val="006230BA"/>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A653C"/>
    <w:rsid w:val="006A6C08"/>
    <w:rsid w:val="006B0FCE"/>
    <w:rsid w:val="006B0FDD"/>
    <w:rsid w:val="006B2F9C"/>
    <w:rsid w:val="006B3346"/>
    <w:rsid w:val="006B647B"/>
    <w:rsid w:val="006B7A2D"/>
    <w:rsid w:val="006C01CC"/>
    <w:rsid w:val="006C21C3"/>
    <w:rsid w:val="006C2706"/>
    <w:rsid w:val="006D6D17"/>
    <w:rsid w:val="006E0974"/>
    <w:rsid w:val="006E12F1"/>
    <w:rsid w:val="006E2165"/>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6D2D"/>
    <w:rsid w:val="00747859"/>
    <w:rsid w:val="007536A0"/>
    <w:rsid w:val="00754BF4"/>
    <w:rsid w:val="00764327"/>
    <w:rsid w:val="00767F71"/>
    <w:rsid w:val="007718E7"/>
    <w:rsid w:val="00786A5D"/>
    <w:rsid w:val="007911E6"/>
    <w:rsid w:val="007A026A"/>
    <w:rsid w:val="007A0726"/>
    <w:rsid w:val="007A4F2E"/>
    <w:rsid w:val="007B02F2"/>
    <w:rsid w:val="007B74A0"/>
    <w:rsid w:val="007C2CE0"/>
    <w:rsid w:val="007C4DCE"/>
    <w:rsid w:val="007D370E"/>
    <w:rsid w:val="007D531E"/>
    <w:rsid w:val="007D54F6"/>
    <w:rsid w:val="007D7677"/>
    <w:rsid w:val="007D7E4A"/>
    <w:rsid w:val="007E3706"/>
    <w:rsid w:val="007E3845"/>
    <w:rsid w:val="007F2510"/>
    <w:rsid w:val="007F54B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6326E"/>
    <w:rsid w:val="00870E52"/>
    <w:rsid w:val="008824A4"/>
    <w:rsid w:val="008855B0"/>
    <w:rsid w:val="008946EC"/>
    <w:rsid w:val="00894B23"/>
    <w:rsid w:val="008975D9"/>
    <w:rsid w:val="008A1181"/>
    <w:rsid w:val="008A331B"/>
    <w:rsid w:val="008A390D"/>
    <w:rsid w:val="008A5E87"/>
    <w:rsid w:val="008A6F4B"/>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6F86"/>
    <w:rsid w:val="009420F8"/>
    <w:rsid w:val="009446F0"/>
    <w:rsid w:val="00950DB0"/>
    <w:rsid w:val="0095137E"/>
    <w:rsid w:val="00954494"/>
    <w:rsid w:val="00954B8E"/>
    <w:rsid w:val="00954FC3"/>
    <w:rsid w:val="00957085"/>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A6D02"/>
    <w:rsid w:val="009C43C2"/>
    <w:rsid w:val="009D14D4"/>
    <w:rsid w:val="009D3CF6"/>
    <w:rsid w:val="009D5661"/>
    <w:rsid w:val="009E3AE2"/>
    <w:rsid w:val="00A01B75"/>
    <w:rsid w:val="00A01F86"/>
    <w:rsid w:val="00A04187"/>
    <w:rsid w:val="00A046C0"/>
    <w:rsid w:val="00A11B7E"/>
    <w:rsid w:val="00A16E03"/>
    <w:rsid w:val="00A2721E"/>
    <w:rsid w:val="00A27AD4"/>
    <w:rsid w:val="00A3216B"/>
    <w:rsid w:val="00A32EB4"/>
    <w:rsid w:val="00A333A6"/>
    <w:rsid w:val="00A43B97"/>
    <w:rsid w:val="00A53779"/>
    <w:rsid w:val="00A6195F"/>
    <w:rsid w:val="00A66ECD"/>
    <w:rsid w:val="00A8122F"/>
    <w:rsid w:val="00A86850"/>
    <w:rsid w:val="00A95A1D"/>
    <w:rsid w:val="00A97159"/>
    <w:rsid w:val="00A97527"/>
    <w:rsid w:val="00AA3236"/>
    <w:rsid w:val="00AB1B40"/>
    <w:rsid w:val="00AB77A5"/>
    <w:rsid w:val="00AC2E47"/>
    <w:rsid w:val="00AD0922"/>
    <w:rsid w:val="00AD1946"/>
    <w:rsid w:val="00AD270C"/>
    <w:rsid w:val="00AD399F"/>
    <w:rsid w:val="00AE02D7"/>
    <w:rsid w:val="00AF1C06"/>
    <w:rsid w:val="00B079E1"/>
    <w:rsid w:val="00B131B0"/>
    <w:rsid w:val="00B132CB"/>
    <w:rsid w:val="00B15CED"/>
    <w:rsid w:val="00B233CE"/>
    <w:rsid w:val="00B25D60"/>
    <w:rsid w:val="00B26364"/>
    <w:rsid w:val="00B2708D"/>
    <w:rsid w:val="00B31D0E"/>
    <w:rsid w:val="00B35B8F"/>
    <w:rsid w:val="00B368D5"/>
    <w:rsid w:val="00B43BCB"/>
    <w:rsid w:val="00B45F62"/>
    <w:rsid w:val="00B53350"/>
    <w:rsid w:val="00B6110F"/>
    <w:rsid w:val="00B67A4C"/>
    <w:rsid w:val="00B704F1"/>
    <w:rsid w:val="00B756AE"/>
    <w:rsid w:val="00B8150B"/>
    <w:rsid w:val="00B86D61"/>
    <w:rsid w:val="00B938DF"/>
    <w:rsid w:val="00B93978"/>
    <w:rsid w:val="00B97A5D"/>
    <w:rsid w:val="00BA02CC"/>
    <w:rsid w:val="00BA2171"/>
    <w:rsid w:val="00BA2634"/>
    <w:rsid w:val="00BA2739"/>
    <w:rsid w:val="00BB2A3D"/>
    <w:rsid w:val="00BB4D36"/>
    <w:rsid w:val="00BB6623"/>
    <w:rsid w:val="00BB78EA"/>
    <w:rsid w:val="00BC01FD"/>
    <w:rsid w:val="00BD40AF"/>
    <w:rsid w:val="00BD6F23"/>
    <w:rsid w:val="00BD76C2"/>
    <w:rsid w:val="00BF0102"/>
    <w:rsid w:val="00BF0AF8"/>
    <w:rsid w:val="00BF3051"/>
    <w:rsid w:val="00BF5899"/>
    <w:rsid w:val="00BF7559"/>
    <w:rsid w:val="00C018EA"/>
    <w:rsid w:val="00C03D80"/>
    <w:rsid w:val="00C0557A"/>
    <w:rsid w:val="00C13342"/>
    <w:rsid w:val="00C13AB1"/>
    <w:rsid w:val="00C14D8E"/>
    <w:rsid w:val="00C16F6E"/>
    <w:rsid w:val="00C17220"/>
    <w:rsid w:val="00C215A5"/>
    <w:rsid w:val="00C2617E"/>
    <w:rsid w:val="00C34133"/>
    <w:rsid w:val="00C350C2"/>
    <w:rsid w:val="00C41B0E"/>
    <w:rsid w:val="00C46FA5"/>
    <w:rsid w:val="00C6038B"/>
    <w:rsid w:val="00C63A78"/>
    <w:rsid w:val="00C646EA"/>
    <w:rsid w:val="00C66B79"/>
    <w:rsid w:val="00C66CD5"/>
    <w:rsid w:val="00C7050F"/>
    <w:rsid w:val="00C775B2"/>
    <w:rsid w:val="00C77667"/>
    <w:rsid w:val="00C779A7"/>
    <w:rsid w:val="00C77CA5"/>
    <w:rsid w:val="00C82CB4"/>
    <w:rsid w:val="00C93CD5"/>
    <w:rsid w:val="00CA3217"/>
    <w:rsid w:val="00CA46D4"/>
    <w:rsid w:val="00CA79B9"/>
    <w:rsid w:val="00CB1902"/>
    <w:rsid w:val="00CD05DC"/>
    <w:rsid w:val="00CD0D88"/>
    <w:rsid w:val="00CD3288"/>
    <w:rsid w:val="00CD5D9E"/>
    <w:rsid w:val="00CE1D72"/>
    <w:rsid w:val="00CE78F4"/>
    <w:rsid w:val="00D02F09"/>
    <w:rsid w:val="00D05F27"/>
    <w:rsid w:val="00D10746"/>
    <w:rsid w:val="00D23EE0"/>
    <w:rsid w:val="00D246D4"/>
    <w:rsid w:val="00D24C38"/>
    <w:rsid w:val="00D256BA"/>
    <w:rsid w:val="00D329BF"/>
    <w:rsid w:val="00D356A3"/>
    <w:rsid w:val="00D41E64"/>
    <w:rsid w:val="00D44079"/>
    <w:rsid w:val="00D4419C"/>
    <w:rsid w:val="00D45458"/>
    <w:rsid w:val="00D45F2B"/>
    <w:rsid w:val="00D50147"/>
    <w:rsid w:val="00D540F2"/>
    <w:rsid w:val="00D559EE"/>
    <w:rsid w:val="00D61E41"/>
    <w:rsid w:val="00D647D1"/>
    <w:rsid w:val="00D670AE"/>
    <w:rsid w:val="00D761AC"/>
    <w:rsid w:val="00D763D1"/>
    <w:rsid w:val="00D76E05"/>
    <w:rsid w:val="00D82291"/>
    <w:rsid w:val="00D85997"/>
    <w:rsid w:val="00D95EF7"/>
    <w:rsid w:val="00D970AC"/>
    <w:rsid w:val="00DA672C"/>
    <w:rsid w:val="00DB066C"/>
    <w:rsid w:val="00DB4FD0"/>
    <w:rsid w:val="00DC76D5"/>
    <w:rsid w:val="00DD1856"/>
    <w:rsid w:val="00DE00D5"/>
    <w:rsid w:val="00DE3772"/>
    <w:rsid w:val="00DF48D4"/>
    <w:rsid w:val="00E220C1"/>
    <w:rsid w:val="00E252E3"/>
    <w:rsid w:val="00E30C75"/>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3933"/>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D348A"/>
    <w:rsid w:val="00ED5EB6"/>
    <w:rsid w:val="00ED7C6D"/>
    <w:rsid w:val="00EE65DB"/>
    <w:rsid w:val="00F051E2"/>
    <w:rsid w:val="00F13FC0"/>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5FAA036A"/>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AC9C4-F401-4A46-AF53-60EB94AB0036}">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5415</Words>
  <Characters>5551</Characters>
  <Lines>47</Lines>
  <Paragraphs>13</Paragraphs>
  <TotalTime>180</TotalTime>
  <ScaleCrop>false</ScaleCrop>
  <LinksUpToDate>false</LinksUpToDate>
  <CharactersWithSpaces>6107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2022-08-01T07:57:00Z</dcterms:created>
  <dc:creator>dzs</dc:creator>
  <cp:lastModifiedBy>?       、M</cp:lastModifiedBy>
  <cp:lastPrinted>2022-08-08T00:53:47Z</cp:lastPrinted>
  <dcterms:modified xsi:type="dcterms:W3CDTF">2022-08-08T00:59:23Z</dcterms:modified>
  <dc:title>扬州自来水总公司工程材料招标邀请书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F41B3D82BE8743739200A203D42B101F</vt:lpwstr>
  </property>
</Properties>
</file>