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康山文化园外墙出新及街区公共设施提升改造工程</w:t>
      </w:r>
    </w:p>
    <w:p/>
    <w:p>
      <w:pPr>
        <w:pStyle w:val="2"/>
        <w:ind w:left="1260"/>
      </w:pPr>
    </w:p>
    <w:p/>
    <w:p>
      <w:pPr>
        <w:pStyle w:val="2"/>
        <w:ind w:left="1260"/>
      </w:pPr>
    </w:p>
    <w:p/>
    <w:p>
      <w:pPr>
        <w:pStyle w:val="2"/>
        <w:ind w:left="1260"/>
      </w:pPr>
    </w:p>
    <w:p/>
    <w:p>
      <w:pPr>
        <w:pStyle w:val="2"/>
        <w:ind w:left="1260"/>
      </w:pPr>
    </w:p>
    <w:p>
      <w:pPr>
        <w:adjustRightInd w:val="0"/>
        <w:snapToGrid w:val="0"/>
        <w:spacing w:line="360" w:lineRule="auto"/>
        <w:jc w:val="center"/>
        <w:rPr>
          <w:rFonts w:ascii="仿宋_GB2312" w:hAnsi="宋体" w:eastAsia="仿宋_GB2312"/>
          <w:b/>
          <w:snapToGrid w:val="0"/>
          <w:sz w:val="52"/>
          <w:szCs w:val="52"/>
        </w:rPr>
      </w:pPr>
      <w:r>
        <w:rPr>
          <w:rFonts w:hint="eastAsia" w:ascii="仿宋_GB2312" w:hAnsi="宋体" w:eastAsia="仿宋_GB2312"/>
          <w:b/>
          <w:spacing w:val="28"/>
          <w:sz w:val="52"/>
          <w:szCs w:val="48"/>
        </w:rPr>
        <w:t>景观材料招标文件</w:t>
      </w:r>
    </w:p>
    <w:p>
      <w:pPr>
        <w:pStyle w:val="2"/>
        <w:ind w:left="0" w:leftChars="0"/>
        <w:jc w:val="center"/>
      </w:pPr>
    </w:p>
    <w:p>
      <w:pPr>
        <w:jc w:val="center"/>
      </w:pPr>
    </w:p>
    <w:p>
      <w:pPr>
        <w:adjustRightInd w:val="0"/>
        <w:snapToGrid w:val="0"/>
        <w:spacing w:line="360" w:lineRule="auto"/>
        <w:ind w:firstLine="1446" w:firstLineChars="200"/>
        <w:jc w:val="center"/>
        <w:rPr>
          <w:rFonts w:ascii="仿宋_GB2312" w:hAnsi="宋体" w:eastAsia="仿宋_GB2312"/>
          <w:b/>
          <w:snapToGrid w:val="0"/>
          <w:sz w:val="72"/>
        </w:rPr>
      </w:pPr>
    </w:p>
    <w:p>
      <w:pPr>
        <w:pStyle w:val="2"/>
        <w:ind w:left="0" w:leftChars="0"/>
        <w:jc w:val="center"/>
      </w:pPr>
    </w:p>
    <w:p>
      <w:pPr>
        <w:jc w:val="center"/>
      </w:pPr>
    </w:p>
    <w:p>
      <w:pPr>
        <w:pStyle w:val="2"/>
        <w:ind w:left="1260"/>
      </w:pPr>
    </w:p>
    <w:p/>
    <w:p>
      <w:pPr>
        <w:pStyle w:val="2"/>
        <w:ind w:left="1260"/>
        <w:jc w:val="center"/>
      </w:pPr>
    </w:p>
    <w:p>
      <w:pPr>
        <w:jc w:val="center"/>
      </w:pPr>
    </w:p>
    <w:p>
      <w:pPr>
        <w:pStyle w:val="2"/>
        <w:ind w:left="1260"/>
        <w:jc w:val="center"/>
      </w:pPr>
    </w:p>
    <w:p>
      <w:pPr>
        <w:jc w:val="left"/>
      </w:pPr>
    </w:p>
    <w:p>
      <w:pPr>
        <w:adjustRightInd w:val="0"/>
        <w:snapToGrid w:val="0"/>
        <w:spacing w:line="480" w:lineRule="auto"/>
        <w:ind w:firstLine="1494" w:firstLineChars="496"/>
        <w:jc w:val="left"/>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jc w:val="left"/>
        <w:rPr>
          <w:rFonts w:eastAsia="黑体"/>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sz w:val="30"/>
          <w:u w:val="single"/>
        </w:rPr>
        <w:t xml:space="preserve"> 2023</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u w:val="single"/>
          <w:lang w:val="en-US" w:eastAsia="zh-CN"/>
        </w:rPr>
        <w:t>5</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u w:val="single"/>
          <w:lang w:val="en-US" w:eastAsia="zh-CN"/>
        </w:rPr>
        <w:t>5</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rPr>
        <w:t>日</w:t>
      </w:r>
    </w:p>
    <w:p>
      <w:pPr>
        <w:pStyle w:val="2"/>
        <w:ind w:left="0" w:leftChars="0"/>
        <w:jc w:val="center"/>
      </w:pPr>
    </w:p>
    <w:p>
      <w:pPr>
        <w:spacing w:line="360" w:lineRule="auto"/>
        <w:jc w:val="center"/>
        <w:outlineLvl w:val="0"/>
        <w:rPr>
          <w:rFonts w:ascii="宋体" w:hAnsi="宋体"/>
          <w:b/>
          <w:sz w:val="36"/>
          <w:szCs w:val="36"/>
        </w:rPr>
      </w:pPr>
    </w:p>
    <w:p>
      <w:pPr>
        <w:spacing w:line="360" w:lineRule="auto"/>
        <w:outlineLvl w:val="0"/>
        <w:rPr>
          <w:rFonts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5"/>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widowControl/>
              <w:jc w:val="left"/>
            </w:pPr>
            <w:r>
              <w:rPr>
                <w:rFonts w:hint="eastAsia"/>
              </w:rPr>
              <w:t>康山文化园外墙出新及公共设施提升改造工程-景观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详见招标清单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投标报价方式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Cs w:val="21"/>
              </w:rPr>
            </w:pPr>
            <w:r>
              <w:rPr>
                <w:rFonts w:hint="eastAsia" w:ascii="宋体" w:hAnsi="宋体"/>
                <w:szCs w:val="21"/>
              </w:rPr>
              <w:t>让利报价，让利15%（投标须让利15%及以上）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最高限价</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详见最高限价表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中标签订合同后按采购方要求时间供货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从投标截止日起30天内有效，如中标，有效期将延至合同终止日。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735" w:firstLineChars="350"/>
              <w:rPr>
                <w:rFonts w:ascii="宋体" w:hAnsi="宋体"/>
                <w:szCs w:val="21"/>
              </w:rPr>
            </w:pPr>
            <w:r>
              <w:rPr>
                <w:rFonts w:hint="eastAsia" w:ascii="宋体" w:hAnsi="宋体"/>
                <w:szCs w:val="21"/>
              </w:rPr>
              <w:t>2023年 5 月</w:t>
            </w:r>
            <w:r>
              <w:rPr>
                <w:rFonts w:hint="eastAsia" w:ascii="宋体" w:hAnsi="宋体"/>
                <w:szCs w:val="21"/>
                <w:lang w:val="en-US" w:eastAsia="zh-CN"/>
              </w:rPr>
              <w:t>7</w:t>
            </w:r>
            <w:r>
              <w:rPr>
                <w:rFonts w:hint="eastAsia" w:ascii="宋体" w:hAnsi="宋体"/>
                <w:szCs w:val="21"/>
              </w:rPr>
              <w:t xml:space="preserve"> </w:t>
            </w:r>
            <w:bookmarkStart w:id="3" w:name="_GoBack"/>
            <w:bookmarkEnd w:id="3"/>
            <w:r>
              <w:rPr>
                <w:rFonts w:hint="eastAsia" w:ascii="宋体" w:hAnsi="宋体"/>
                <w:szCs w:val="21"/>
              </w:rPr>
              <w:t xml:space="preserve">日下午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 xml:space="preserve">扬州市立新路14号扬州市上善建设工程有限公司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szCs w:val="21"/>
              </w:rPr>
            </w:pPr>
            <w:r>
              <w:rPr>
                <w:rFonts w:hint="eastAsia" w:ascii="宋体" w:hAnsi="宋体"/>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话：18052597958</w:t>
            </w:r>
          </w:p>
          <w:p>
            <w:pPr>
              <w:adjustRightInd w:val="0"/>
              <w:spacing w:line="380" w:lineRule="exact"/>
              <w:rPr>
                <w:rFonts w:ascii="宋体" w:hAnsi="宋体"/>
                <w:szCs w:val="21"/>
              </w:rPr>
            </w:pPr>
            <w:r>
              <w:rPr>
                <w:rFonts w:hint="eastAsia" w:ascii="宋体" w:hAnsi="宋体"/>
                <w:szCs w:val="21"/>
              </w:rPr>
              <w:t>联系人：刘准</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rPr>
        <w:t>康山文化园外墙出新及公共设施提升改造工程-景观</w:t>
      </w:r>
      <w:r>
        <w:rPr>
          <w:rFonts w:hint="eastAsia" w:ascii="宋体" w:hAnsi="宋体"/>
          <w:szCs w:val="21"/>
        </w:rPr>
        <w:t>需采购亮化材料一批</w:t>
      </w:r>
      <w:r>
        <w:rPr>
          <w:rFonts w:hint="eastAsia"/>
        </w:rPr>
        <w:t>，详见招标清单及清单说明</w:t>
      </w:r>
      <w:r>
        <w:rPr>
          <w:rFonts w:hint="eastAsia" w:ascii="宋体" w:hAnsi="宋体"/>
          <w:szCs w:val="21"/>
        </w:rPr>
        <w:t>。本招标项目已具备招标条件，现对本项目进行招标。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ind w:left="0" w:leftChars="0" w:firstLine="630" w:firstLineChars="300"/>
      </w:pPr>
      <w:r>
        <w:rPr>
          <w:rFonts w:hint="eastAsia"/>
        </w:rPr>
        <w:t>4.3本项目不允许联合体投标</w:t>
      </w:r>
    </w:p>
    <w:p>
      <w:pPr>
        <w:pStyle w:val="2"/>
        <w:ind w:left="0" w:leftChars="0"/>
      </w:pPr>
    </w:p>
    <w:p>
      <w:pPr>
        <w:pStyle w:val="2"/>
        <w:ind w:left="0" w:leftChars="0"/>
      </w:pP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numPr>
          <w:ilvl w:val="0"/>
          <w:numId w:val="3"/>
        </w:numPr>
        <w:autoSpaceDE w:val="0"/>
        <w:autoSpaceDN w:val="0"/>
        <w:adjustRightInd w:val="0"/>
        <w:snapToGrid w:val="0"/>
        <w:spacing w:line="480" w:lineRule="exact"/>
        <w:ind w:firstLine="774" w:firstLineChars="367"/>
        <w:jc w:val="left"/>
        <w:rPr>
          <w:rFonts w:ascii="宋体" w:hAnsi="宋体"/>
          <w:b/>
          <w:szCs w:val="21"/>
        </w:rPr>
      </w:pPr>
      <w:r>
        <w:rPr>
          <w:rFonts w:hint="eastAsia" w:ascii="宋体" w:hAnsi="宋体"/>
          <w:b/>
          <w:szCs w:val="21"/>
        </w:rPr>
        <w:t>符合国家相关质量标准。</w:t>
      </w:r>
    </w:p>
    <w:p>
      <w:pPr>
        <w:numPr>
          <w:ilvl w:val="0"/>
          <w:numId w:val="3"/>
        </w:numPr>
        <w:autoSpaceDE w:val="0"/>
        <w:autoSpaceDN w:val="0"/>
        <w:adjustRightInd w:val="0"/>
        <w:snapToGrid w:val="0"/>
        <w:spacing w:line="480" w:lineRule="exact"/>
        <w:ind w:firstLine="770" w:firstLineChars="367"/>
        <w:jc w:val="left"/>
        <w:rPr>
          <w:rFonts w:ascii="宋体" w:hAnsi="宋体"/>
          <w:b/>
          <w:szCs w:val="21"/>
        </w:rPr>
      </w:pPr>
      <w:r>
        <w:rPr>
          <w:rFonts w:hint="eastAsia" w:ascii="宋体" w:hAnsi="宋体"/>
          <w:szCs w:val="21"/>
        </w:rPr>
        <w:t>最高限价表</w:t>
      </w:r>
      <w:r>
        <w:rPr>
          <w:rFonts w:hint="eastAsia" w:ascii="宋体" w:hAnsi="宋体"/>
          <w:b/>
          <w:szCs w:val="21"/>
        </w:rPr>
        <w:t>及说明。</w:t>
      </w:r>
    </w:p>
    <w:p>
      <w:pPr>
        <w:spacing w:line="360" w:lineRule="auto"/>
        <w:ind w:firstLine="435"/>
        <w:jc w:val="left"/>
      </w:pPr>
      <w:r>
        <w:rPr>
          <w:rFonts w:hint="eastAsia"/>
        </w:rPr>
        <w:t>一、说明：景观改造。</w:t>
      </w:r>
    </w:p>
    <w:p>
      <w:pPr>
        <w:spacing w:line="360" w:lineRule="auto"/>
        <w:ind w:firstLine="420" w:firstLineChars="200"/>
        <w:jc w:val="left"/>
        <w:rPr>
          <w:rFonts w:ascii="宋体" w:hAnsi="宋体"/>
          <w:szCs w:val="21"/>
        </w:rPr>
      </w:pPr>
      <w:r>
        <w:rPr>
          <w:rFonts w:hint="eastAsia"/>
        </w:rPr>
        <w:t>二、</w:t>
      </w:r>
      <w:r>
        <w:rPr>
          <w:rFonts w:hint="eastAsia" w:ascii="宋体" w:hAnsi="宋体"/>
          <w:szCs w:val="21"/>
        </w:rPr>
        <w:t>最高限价表</w:t>
      </w:r>
    </w:p>
    <w:tbl>
      <w:tblPr>
        <w:tblStyle w:val="15"/>
        <w:tblW w:w="9580" w:type="dxa"/>
        <w:tblInd w:w="93" w:type="dxa"/>
        <w:tblLayout w:type="autofit"/>
        <w:tblCellMar>
          <w:top w:w="0" w:type="dxa"/>
          <w:left w:w="108" w:type="dxa"/>
          <w:bottom w:w="0" w:type="dxa"/>
          <w:right w:w="108" w:type="dxa"/>
        </w:tblCellMar>
      </w:tblPr>
      <w:tblGrid>
        <w:gridCol w:w="720"/>
        <w:gridCol w:w="710"/>
        <w:gridCol w:w="710"/>
        <w:gridCol w:w="1620"/>
        <w:gridCol w:w="720"/>
        <w:gridCol w:w="560"/>
        <w:gridCol w:w="560"/>
        <w:gridCol w:w="760"/>
        <w:gridCol w:w="760"/>
        <w:gridCol w:w="1220"/>
        <w:gridCol w:w="1240"/>
      </w:tblGrid>
      <w:tr>
        <w:tblPrEx>
          <w:tblCellMar>
            <w:top w:w="0" w:type="dxa"/>
            <w:left w:w="108" w:type="dxa"/>
            <w:bottom w:w="0" w:type="dxa"/>
            <w:right w:w="108" w:type="dxa"/>
          </w:tblCellMar>
        </w:tblPrEx>
        <w:trPr>
          <w:trHeight w:val="690" w:hRule="atLeast"/>
        </w:trPr>
        <w:tc>
          <w:tcPr>
            <w:tcW w:w="72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Cs w:val="21"/>
              </w:rPr>
            </w:pPr>
            <w:bookmarkStart w:id="0" w:name="RANGE!A1:K17"/>
            <w:r>
              <w:rPr>
                <w:rFonts w:hint="eastAsia" w:ascii="黑体" w:hAnsi="黑体" w:eastAsia="黑体" w:cs="Arial"/>
                <w:color w:val="000000"/>
                <w:kern w:val="0"/>
                <w:szCs w:val="21"/>
              </w:rPr>
              <w:t>序号</w:t>
            </w:r>
            <w:bookmarkEnd w:id="0"/>
          </w:p>
        </w:tc>
        <w:tc>
          <w:tcPr>
            <w:tcW w:w="142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材料名称</w:t>
            </w:r>
          </w:p>
        </w:tc>
        <w:tc>
          <w:tcPr>
            <w:tcW w:w="162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规格、型号等要求</w:t>
            </w:r>
          </w:p>
        </w:tc>
        <w:tc>
          <w:tcPr>
            <w:tcW w:w="72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单位</w:t>
            </w:r>
          </w:p>
        </w:tc>
        <w:tc>
          <w:tcPr>
            <w:tcW w:w="112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数量</w:t>
            </w:r>
          </w:p>
        </w:tc>
        <w:tc>
          <w:tcPr>
            <w:tcW w:w="1520" w:type="dxa"/>
            <w:gridSpan w:val="2"/>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lang w:val="en-US" w:eastAsia="zh-CN"/>
              </w:rPr>
              <w:t>最高限价13%</w:t>
            </w:r>
            <w:r>
              <w:rPr>
                <w:rFonts w:hint="eastAsia" w:ascii="黑体" w:hAnsi="黑体" w:eastAsia="黑体" w:cs="Arial"/>
                <w:color w:val="000000"/>
                <w:kern w:val="0"/>
                <w:szCs w:val="21"/>
              </w:rPr>
              <w:t>(元)</w:t>
            </w:r>
          </w:p>
        </w:tc>
        <w:tc>
          <w:tcPr>
            <w:tcW w:w="1220" w:type="dxa"/>
            <w:tcBorders>
              <w:top w:val="single" w:color="000000" w:sz="8" w:space="0"/>
              <w:left w:val="nil"/>
              <w:bottom w:val="single" w:color="000000" w:sz="4" w:space="0"/>
              <w:right w:val="single" w:color="000000" w:sz="4"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合价(元)</w:t>
            </w:r>
          </w:p>
        </w:tc>
        <w:tc>
          <w:tcPr>
            <w:tcW w:w="1240" w:type="dxa"/>
            <w:tcBorders>
              <w:top w:val="single" w:color="000000" w:sz="8" w:space="0"/>
              <w:left w:val="nil"/>
              <w:bottom w:val="single" w:color="000000" w:sz="4" w:space="0"/>
              <w:right w:val="single" w:color="000000" w:sz="8" w:space="0"/>
            </w:tcBorders>
            <w:shd w:val="clear" w:color="FFFFFF" w:fill="FFFFFF"/>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备注</w:t>
            </w:r>
          </w:p>
        </w:tc>
      </w:tr>
      <w:tr>
        <w:tblPrEx>
          <w:tblCellMar>
            <w:top w:w="0" w:type="dxa"/>
            <w:left w:w="108" w:type="dxa"/>
            <w:bottom w:w="0" w:type="dxa"/>
            <w:right w:w="108" w:type="dxa"/>
          </w:tblCellMar>
        </w:tblPrEx>
        <w:trPr>
          <w:trHeight w:val="499"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幻彩麻烧面花岗岩</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600*600*80</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m2</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4.4</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495</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2178</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r>
      <w:tr>
        <w:tblPrEx>
          <w:tblCellMar>
            <w:top w:w="0" w:type="dxa"/>
            <w:left w:w="108" w:type="dxa"/>
            <w:bottom w:w="0" w:type="dxa"/>
            <w:right w:w="108" w:type="dxa"/>
          </w:tblCellMar>
        </w:tblPrEx>
        <w:trPr>
          <w:trHeight w:val="499"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2</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芝麻灰烧面花岗岩</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600*300*50厚</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m2</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204</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185</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37740</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r>
      <w:tr>
        <w:tblPrEx>
          <w:tblCellMar>
            <w:top w:w="0" w:type="dxa"/>
            <w:left w:w="108" w:type="dxa"/>
            <w:bottom w:w="0" w:type="dxa"/>
            <w:right w:w="108" w:type="dxa"/>
          </w:tblCellMar>
        </w:tblPrEx>
        <w:trPr>
          <w:trHeight w:val="514"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3</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芝麻灰烧面花岗岩</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600*100*80厚</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m2</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27</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208</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5616</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r>
      <w:tr>
        <w:tblPrEx>
          <w:tblCellMar>
            <w:top w:w="0" w:type="dxa"/>
            <w:left w:w="108" w:type="dxa"/>
            <w:bottom w:w="0" w:type="dxa"/>
            <w:right w:w="108" w:type="dxa"/>
          </w:tblCellMar>
        </w:tblPrEx>
        <w:trPr>
          <w:trHeight w:val="499"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4</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芝麻灰烧面花岗岩</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600*300*80厚</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m2</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41</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208</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8528</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r>
      <w:tr>
        <w:tblPrEx>
          <w:tblCellMar>
            <w:top w:w="0" w:type="dxa"/>
            <w:left w:w="108" w:type="dxa"/>
            <w:bottom w:w="0" w:type="dxa"/>
            <w:right w:w="108" w:type="dxa"/>
          </w:tblCellMar>
        </w:tblPrEx>
        <w:trPr>
          <w:trHeight w:val="499"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5</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中国黑烧面花岗岩</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600*100*80厚</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m2</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2.2</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394</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866.8</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r>
      <w:tr>
        <w:tblPrEx>
          <w:tblCellMar>
            <w:top w:w="0" w:type="dxa"/>
            <w:left w:w="108" w:type="dxa"/>
            <w:bottom w:w="0" w:type="dxa"/>
            <w:right w:w="108" w:type="dxa"/>
          </w:tblCellMar>
        </w:tblPrEx>
        <w:trPr>
          <w:trHeight w:val="499"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6</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中国黑烧面花岗岩</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600*300*50厚</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m2</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213</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208</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44304</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r>
      <w:tr>
        <w:tblPrEx>
          <w:tblCellMar>
            <w:top w:w="0" w:type="dxa"/>
            <w:left w:w="108" w:type="dxa"/>
            <w:bottom w:w="0" w:type="dxa"/>
            <w:right w:w="108" w:type="dxa"/>
          </w:tblCellMar>
        </w:tblPrEx>
        <w:trPr>
          <w:trHeight w:val="514"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7</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芝麻灰烧面花岗岩</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600*300*50厚</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m2</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1112</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185</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205720</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r>
      <w:tr>
        <w:tblPrEx>
          <w:tblCellMar>
            <w:top w:w="0" w:type="dxa"/>
            <w:left w:w="108" w:type="dxa"/>
            <w:bottom w:w="0" w:type="dxa"/>
            <w:right w:w="108" w:type="dxa"/>
          </w:tblCellMar>
        </w:tblPrEx>
        <w:trPr>
          <w:trHeight w:val="499"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8</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中国黑烧面花岗岩</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300*300*50厚</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m2</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20</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208</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4160</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r>
      <w:tr>
        <w:tblPrEx>
          <w:tblCellMar>
            <w:top w:w="0" w:type="dxa"/>
            <w:left w:w="108" w:type="dxa"/>
            <w:bottom w:w="0" w:type="dxa"/>
            <w:right w:w="108" w:type="dxa"/>
          </w:tblCellMar>
        </w:tblPrEx>
        <w:trPr>
          <w:trHeight w:val="499"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9</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中国黑烧面花岗岩</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600*300*80厚</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m2</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12.2</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394</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4806.8</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r>
      <w:tr>
        <w:tblPrEx>
          <w:tblCellMar>
            <w:top w:w="0" w:type="dxa"/>
            <w:left w:w="108" w:type="dxa"/>
            <w:bottom w:w="0" w:type="dxa"/>
            <w:right w:w="108" w:type="dxa"/>
          </w:tblCellMar>
        </w:tblPrEx>
        <w:trPr>
          <w:trHeight w:val="499"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10</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中国黑烧面花岗岩</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300*300*80厚</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m2</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1.1</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394</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433.4</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r>
      <w:tr>
        <w:tblPrEx>
          <w:tblCellMar>
            <w:top w:w="0" w:type="dxa"/>
            <w:left w:w="108" w:type="dxa"/>
            <w:bottom w:w="0" w:type="dxa"/>
            <w:right w:w="108" w:type="dxa"/>
          </w:tblCellMar>
        </w:tblPrEx>
        <w:trPr>
          <w:trHeight w:val="1380"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11</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花箱</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400*600*800</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个</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50</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450</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22500</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2厚不锈钢板，咖啡氟碳漆饰面，带不锈钢LOGO饰面</w:t>
            </w:r>
          </w:p>
        </w:tc>
      </w:tr>
      <w:tr>
        <w:tblPrEx>
          <w:tblCellMar>
            <w:top w:w="0" w:type="dxa"/>
            <w:left w:w="108" w:type="dxa"/>
            <w:bottom w:w="0" w:type="dxa"/>
            <w:right w:w="108" w:type="dxa"/>
          </w:tblCellMar>
        </w:tblPrEx>
        <w:trPr>
          <w:trHeight w:val="338"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12</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成品岗亭</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1.5*2*2.8m</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个</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12000</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24780</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r>
      <w:tr>
        <w:tblPrEx>
          <w:tblCellMar>
            <w:top w:w="0" w:type="dxa"/>
            <w:left w:w="108" w:type="dxa"/>
            <w:bottom w:w="0" w:type="dxa"/>
            <w:right w:w="108" w:type="dxa"/>
          </w:tblCellMar>
        </w:tblPrEx>
        <w:trPr>
          <w:trHeight w:val="1399"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13</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垃圾回收点</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4.5*2.55*0.8m</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个</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4700</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9460</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配备成品垃圾桶、宣传栏，深灰色氟碳漆不锈钢饰面</w:t>
            </w:r>
          </w:p>
        </w:tc>
      </w:tr>
      <w:tr>
        <w:tblPrEx>
          <w:tblCellMar>
            <w:top w:w="0" w:type="dxa"/>
            <w:left w:w="108" w:type="dxa"/>
            <w:bottom w:w="0" w:type="dxa"/>
            <w:right w:w="108" w:type="dxa"/>
          </w:tblCellMar>
        </w:tblPrEx>
        <w:trPr>
          <w:trHeight w:val="338"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14</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LED显示屏</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3*2m</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个</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1</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20000</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20286</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r>
      <w:tr>
        <w:tblPrEx>
          <w:tblCellMar>
            <w:top w:w="0" w:type="dxa"/>
            <w:left w:w="108" w:type="dxa"/>
            <w:bottom w:w="0" w:type="dxa"/>
            <w:right w:w="108" w:type="dxa"/>
          </w:tblCellMar>
        </w:tblPrEx>
        <w:trPr>
          <w:trHeight w:val="353"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15</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座凳</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1350*500*760</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个</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10</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1127</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11270</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铝合金成品</w:t>
            </w:r>
          </w:p>
        </w:tc>
      </w:tr>
      <w:tr>
        <w:tblPrEx>
          <w:tblCellMar>
            <w:top w:w="0" w:type="dxa"/>
            <w:left w:w="108" w:type="dxa"/>
            <w:bottom w:w="0" w:type="dxa"/>
            <w:right w:w="108" w:type="dxa"/>
          </w:tblCellMar>
        </w:tblPrEx>
        <w:trPr>
          <w:trHeight w:val="338" w:hRule="atLeast"/>
        </w:trPr>
        <w:tc>
          <w:tcPr>
            <w:tcW w:w="720"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w:t>
            </w:r>
          </w:p>
        </w:tc>
        <w:tc>
          <w:tcPr>
            <w:tcW w:w="14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c>
          <w:tcPr>
            <w:tcW w:w="16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c>
          <w:tcPr>
            <w:tcW w:w="7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Cs w:val="21"/>
              </w:rPr>
            </w:pPr>
            <w:r>
              <w:rPr>
                <w:rFonts w:hint="eastAsia" w:ascii="宋体" w:hAnsi="宋体" w:cs="Arial"/>
                <w:color w:val="000000"/>
                <w:kern w:val="0"/>
                <w:szCs w:val="21"/>
              </w:rPr>
              <w:t>　</w:t>
            </w:r>
          </w:p>
        </w:tc>
        <w:tc>
          <w:tcPr>
            <w:tcW w:w="11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　</w:t>
            </w:r>
          </w:p>
        </w:tc>
        <w:tc>
          <w:tcPr>
            <w:tcW w:w="1520"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　</w:t>
            </w:r>
          </w:p>
        </w:tc>
        <w:tc>
          <w:tcPr>
            <w:tcW w:w="12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Cs w:val="21"/>
              </w:rPr>
            </w:pPr>
            <w:r>
              <w:rPr>
                <w:rFonts w:hint="eastAsia" w:ascii="宋体" w:hAnsi="宋体" w:cs="Arial"/>
                <w:color w:val="000000"/>
                <w:kern w:val="0"/>
                <w:szCs w:val="21"/>
              </w:rPr>
              <w:t>402649</w:t>
            </w:r>
          </w:p>
        </w:tc>
        <w:tc>
          <w:tcPr>
            <w:tcW w:w="1240" w:type="dxa"/>
            <w:tcBorders>
              <w:top w:val="nil"/>
              <w:left w:val="nil"/>
              <w:bottom w:val="single" w:color="000000" w:sz="4" w:space="0"/>
              <w:right w:val="single" w:color="000000" w:sz="8" w:space="0"/>
            </w:tcBorders>
            <w:shd w:val="clear" w:color="auto" w:fill="auto"/>
            <w:vAlign w:val="center"/>
          </w:tcPr>
          <w:p>
            <w:pPr>
              <w:widowControl/>
              <w:jc w:val="left"/>
              <w:rPr>
                <w:rFonts w:ascii="宋体" w:hAnsi="宋体" w:cs="Arial"/>
                <w:color w:val="000000"/>
                <w:kern w:val="0"/>
                <w:szCs w:val="21"/>
              </w:rPr>
            </w:pPr>
            <w:r>
              <w:rPr>
                <w:rFonts w:hint="eastAsia" w:ascii="宋体" w:hAnsi="宋体" w:cs="Arial"/>
                <w:color w:val="000000"/>
                <w:kern w:val="0"/>
                <w:szCs w:val="21"/>
              </w:rPr>
              <w:t>　</w:t>
            </w:r>
          </w:p>
        </w:tc>
      </w:tr>
      <w:tr>
        <w:tblPrEx>
          <w:tblCellMar>
            <w:top w:w="0" w:type="dxa"/>
            <w:left w:w="108" w:type="dxa"/>
            <w:bottom w:w="0" w:type="dxa"/>
            <w:right w:w="108" w:type="dxa"/>
          </w:tblCellMar>
        </w:tblPrEx>
        <w:trPr>
          <w:trHeight w:val="255" w:hRule="atLeast"/>
        </w:trPr>
        <w:tc>
          <w:tcPr>
            <w:tcW w:w="720" w:type="dxa"/>
            <w:tcBorders>
              <w:top w:val="nil"/>
              <w:left w:val="nil"/>
              <w:bottom w:val="nil"/>
              <w:right w:val="nil"/>
            </w:tcBorders>
            <w:shd w:val="clear" w:color="auto" w:fill="auto"/>
            <w:noWrap/>
            <w:vAlign w:val="bottom"/>
          </w:tcPr>
          <w:p>
            <w:pPr>
              <w:widowControl/>
              <w:jc w:val="left"/>
              <w:rPr>
                <w:rFonts w:ascii="Arial" w:hAnsi="Arial" w:cs="Arial"/>
                <w:kern w:val="0"/>
                <w:sz w:val="20"/>
                <w:szCs w:val="20"/>
              </w:rPr>
            </w:pPr>
          </w:p>
        </w:tc>
        <w:tc>
          <w:tcPr>
            <w:tcW w:w="710" w:type="dxa"/>
            <w:tcBorders>
              <w:top w:val="nil"/>
              <w:left w:val="nil"/>
              <w:bottom w:val="nil"/>
              <w:right w:val="nil"/>
            </w:tcBorders>
            <w:shd w:val="clear" w:color="auto" w:fill="auto"/>
            <w:noWrap/>
            <w:vAlign w:val="bottom"/>
          </w:tcPr>
          <w:p>
            <w:pPr>
              <w:widowControl/>
              <w:jc w:val="left"/>
              <w:rPr>
                <w:rFonts w:ascii="Arial" w:hAnsi="Arial" w:cs="Arial"/>
                <w:kern w:val="0"/>
                <w:sz w:val="20"/>
                <w:szCs w:val="20"/>
              </w:rPr>
            </w:pPr>
          </w:p>
        </w:tc>
        <w:tc>
          <w:tcPr>
            <w:tcW w:w="710" w:type="dxa"/>
            <w:tcBorders>
              <w:top w:val="nil"/>
              <w:left w:val="nil"/>
              <w:bottom w:val="nil"/>
              <w:right w:val="nil"/>
            </w:tcBorders>
            <w:shd w:val="clear" w:color="auto" w:fill="auto"/>
            <w:noWrap/>
            <w:vAlign w:val="bottom"/>
          </w:tcPr>
          <w:p>
            <w:pPr>
              <w:widowControl/>
              <w:jc w:val="left"/>
              <w:rPr>
                <w:rFonts w:ascii="Arial" w:hAnsi="Arial" w:cs="Arial"/>
                <w:kern w:val="0"/>
                <w:sz w:val="20"/>
                <w:szCs w:val="20"/>
              </w:rPr>
            </w:pPr>
          </w:p>
        </w:tc>
        <w:tc>
          <w:tcPr>
            <w:tcW w:w="1620" w:type="dxa"/>
            <w:tcBorders>
              <w:top w:val="nil"/>
              <w:left w:val="nil"/>
              <w:bottom w:val="nil"/>
              <w:right w:val="nil"/>
            </w:tcBorders>
            <w:shd w:val="clear" w:color="auto" w:fill="auto"/>
            <w:noWrap/>
            <w:vAlign w:val="bottom"/>
          </w:tcPr>
          <w:p>
            <w:pPr>
              <w:widowControl/>
              <w:jc w:val="left"/>
              <w:rPr>
                <w:rFonts w:ascii="Arial" w:hAnsi="Arial" w:cs="Arial"/>
                <w:kern w:val="0"/>
                <w:sz w:val="20"/>
                <w:szCs w:val="20"/>
              </w:rPr>
            </w:pPr>
          </w:p>
        </w:tc>
        <w:tc>
          <w:tcPr>
            <w:tcW w:w="720" w:type="dxa"/>
            <w:tcBorders>
              <w:top w:val="nil"/>
              <w:left w:val="nil"/>
              <w:bottom w:val="nil"/>
              <w:right w:val="nil"/>
            </w:tcBorders>
            <w:shd w:val="clear" w:color="auto" w:fill="auto"/>
            <w:noWrap/>
            <w:vAlign w:val="bottom"/>
          </w:tcPr>
          <w:p>
            <w:pPr>
              <w:widowControl/>
              <w:jc w:val="left"/>
              <w:rPr>
                <w:rFonts w:ascii="Arial" w:hAnsi="Arial" w:cs="Arial"/>
                <w:kern w:val="0"/>
                <w:sz w:val="20"/>
                <w:szCs w:val="20"/>
              </w:rPr>
            </w:pPr>
          </w:p>
        </w:tc>
        <w:tc>
          <w:tcPr>
            <w:tcW w:w="560" w:type="dxa"/>
            <w:tcBorders>
              <w:top w:val="nil"/>
              <w:left w:val="nil"/>
              <w:bottom w:val="nil"/>
              <w:right w:val="nil"/>
            </w:tcBorders>
            <w:shd w:val="clear" w:color="auto" w:fill="auto"/>
            <w:noWrap/>
            <w:vAlign w:val="bottom"/>
          </w:tcPr>
          <w:p>
            <w:pPr>
              <w:widowControl/>
              <w:jc w:val="left"/>
              <w:rPr>
                <w:rFonts w:ascii="Arial" w:hAnsi="Arial" w:cs="Arial"/>
                <w:kern w:val="0"/>
                <w:sz w:val="20"/>
                <w:szCs w:val="20"/>
              </w:rPr>
            </w:pPr>
          </w:p>
        </w:tc>
        <w:tc>
          <w:tcPr>
            <w:tcW w:w="560" w:type="dxa"/>
            <w:tcBorders>
              <w:top w:val="nil"/>
              <w:left w:val="nil"/>
              <w:bottom w:val="nil"/>
              <w:right w:val="nil"/>
            </w:tcBorders>
            <w:shd w:val="clear" w:color="auto" w:fill="auto"/>
            <w:noWrap/>
            <w:vAlign w:val="bottom"/>
          </w:tcPr>
          <w:p>
            <w:pPr>
              <w:widowControl/>
              <w:jc w:val="left"/>
              <w:rPr>
                <w:rFonts w:ascii="Arial" w:hAnsi="Arial" w:cs="Arial"/>
                <w:kern w:val="0"/>
                <w:sz w:val="20"/>
                <w:szCs w:val="20"/>
              </w:rPr>
            </w:pPr>
          </w:p>
        </w:tc>
        <w:tc>
          <w:tcPr>
            <w:tcW w:w="760" w:type="dxa"/>
            <w:tcBorders>
              <w:top w:val="nil"/>
              <w:left w:val="nil"/>
              <w:bottom w:val="nil"/>
              <w:right w:val="nil"/>
            </w:tcBorders>
            <w:shd w:val="clear" w:color="auto" w:fill="auto"/>
            <w:noWrap/>
            <w:vAlign w:val="bottom"/>
          </w:tcPr>
          <w:p>
            <w:pPr>
              <w:widowControl/>
              <w:jc w:val="left"/>
              <w:rPr>
                <w:rFonts w:ascii="Arial" w:hAnsi="Arial" w:cs="Arial"/>
                <w:kern w:val="0"/>
                <w:sz w:val="20"/>
                <w:szCs w:val="20"/>
              </w:rPr>
            </w:pPr>
          </w:p>
        </w:tc>
        <w:tc>
          <w:tcPr>
            <w:tcW w:w="760" w:type="dxa"/>
            <w:tcBorders>
              <w:top w:val="nil"/>
              <w:left w:val="nil"/>
              <w:bottom w:val="nil"/>
              <w:right w:val="nil"/>
            </w:tcBorders>
            <w:shd w:val="clear" w:color="auto" w:fill="auto"/>
            <w:noWrap/>
            <w:vAlign w:val="bottom"/>
          </w:tcPr>
          <w:p>
            <w:pPr>
              <w:widowControl/>
              <w:jc w:val="left"/>
              <w:rPr>
                <w:rFonts w:ascii="Arial" w:hAnsi="Arial" w:cs="Arial"/>
                <w:kern w:val="0"/>
                <w:sz w:val="20"/>
                <w:szCs w:val="20"/>
              </w:rPr>
            </w:pPr>
          </w:p>
        </w:tc>
        <w:tc>
          <w:tcPr>
            <w:tcW w:w="1220" w:type="dxa"/>
            <w:tcBorders>
              <w:top w:val="nil"/>
              <w:left w:val="nil"/>
              <w:bottom w:val="nil"/>
              <w:right w:val="nil"/>
            </w:tcBorders>
            <w:shd w:val="clear" w:color="auto" w:fill="auto"/>
            <w:noWrap/>
            <w:vAlign w:val="bottom"/>
          </w:tcPr>
          <w:p>
            <w:pPr>
              <w:widowControl/>
              <w:jc w:val="left"/>
              <w:rPr>
                <w:rFonts w:ascii="Arial" w:hAnsi="Arial" w:cs="Arial"/>
                <w:kern w:val="0"/>
                <w:sz w:val="20"/>
                <w:szCs w:val="20"/>
              </w:rPr>
            </w:pPr>
          </w:p>
        </w:tc>
        <w:tc>
          <w:tcPr>
            <w:tcW w:w="1240" w:type="dxa"/>
            <w:tcBorders>
              <w:top w:val="nil"/>
              <w:left w:val="nil"/>
              <w:bottom w:val="nil"/>
              <w:right w:val="nil"/>
            </w:tcBorders>
            <w:shd w:val="clear" w:color="auto" w:fill="auto"/>
            <w:noWrap/>
            <w:vAlign w:val="bottom"/>
          </w:tcPr>
          <w:p>
            <w:pPr>
              <w:widowControl/>
              <w:jc w:val="left"/>
              <w:rPr>
                <w:rFonts w:ascii="Arial" w:hAnsi="Arial" w:cs="Arial"/>
                <w:kern w:val="0"/>
                <w:sz w:val="20"/>
                <w:szCs w:val="20"/>
              </w:rPr>
            </w:pPr>
          </w:p>
        </w:tc>
      </w:tr>
    </w:tbl>
    <w:p>
      <w:pPr>
        <w:pStyle w:val="2"/>
        <w:ind w:left="1260"/>
      </w:pP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1、投标单位应根据清单货物名称样式数量及尺寸要求等含13%税让利报价，所有材料同等让利。</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2、本次招标的合格投标人应同时满足下列资格要求：</w:t>
      </w:r>
    </w:p>
    <w:p>
      <w:pPr>
        <w:autoSpaceDE w:val="0"/>
        <w:autoSpaceDN w:val="0"/>
        <w:adjustRightInd w:val="0"/>
        <w:snapToGrid w:val="0"/>
        <w:spacing w:line="480" w:lineRule="exact"/>
        <w:ind w:left="525" w:leftChars="250" w:firstLine="140" w:firstLineChars="67"/>
        <w:rPr>
          <w:rFonts w:hint="eastAsia" w:ascii="宋体" w:hAnsi="宋体"/>
          <w:szCs w:val="21"/>
        </w:rPr>
      </w:pPr>
      <w:r>
        <w:rPr>
          <w:rFonts w:hint="eastAsia" w:ascii="宋体" w:hAnsi="宋体"/>
          <w:szCs w:val="21"/>
        </w:rPr>
        <w:t>（1）投标单位须具有独立法人资格，招标内容在其营业执照的经营范围内，提供营业执照（复印件）。</w:t>
      </w:r>
    </w:p>
    <w:p>
      <w:pPr>
        <w:pStyle w:val="2"/>
        <w:ind w:left="0" w:leftChars="0" w:firstLine="630" w:firstLineChars="300"/>
      </w:pPr>
      <w:r>
        <w:rPr>
          <w:rFonts w:hint="eastAsia" w:ascii="宋体" w:hAnsi="宋体"/>
          <w:szCs w:val="21"/>
          <w:lang w:eastAsia="zh-CN"/>
        </w:rPr>
        <w:t>（</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lang w:val="en-US" w:eastAsia="zh-CN"/>
        </w:rPr>
        <w:t>提供税率证明。</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3、投标文件一份，必须用不能擦去的墨水书写或打印。应装订成册。</w:t>
      </w:r>
    </w:p>
    <w:p>
      <w:pPr>
        <w:autoSpaceDE w:val="0"/>
        <w:autoSpaceDN w:val="0"/>
        <w:adjustRightInd w:val="0"/>
        <w:snapToGrid w:val="0"/>
        <w:spacing w:line="480" w:lineRule="atLeas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pStyle w:val="2"/>
        <w:spacing w:line="480" w:lineRule="atLeast"/>
        <w:ind w:left="13" w:leftChars="6" w:firstLine="205" w:firstLineChars="98"/>
      </w:pPr>
      <w:r>
        <w:rPr>
          <w:rFonts w:hint="eastAsia" w:ascii="宋体" w:hAnsi="宋体"/>
          <w:szCs w:val="21"/>
        </w:rPr>
        <w:t xml:space="preserve">   5、要求投标单位提供开税证明。</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6、包装要求：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1" w:name="EB0f01764a82a04f44abcb858eaf46c6a5"/>
      <w:bookmarkEnd w:id="1"/>
      <w:bookmarkStart w:id="2" w:name="EB66450c37613b4d8bb5d2ef34d49a190f"/>
      <w:bookmarkEnd w:id="2"/>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szCs w:val="21"/>
        </w:rPr>
      </w:pPr>
      <w:r>
        <w:rPr>
          <w:rFonts w:hint="eastAsia" w:ascii="宋体" w:hAnsi="宋体" w:cs="宋体"/>
          <w:szCs w:val="21"/>
          <w:shd w:val="clear" w:color="auto" w:fill="FFFFFF"/>
        </w:rPr>
        <w:t>2、本工程采用</w:t>
      </w:r>
      <w:r>
        <w:rPr>
          <w:rFonts w:hint="eastAsia" w:ascii="宋体" w:hAnsi="宋体" w:cs="宋体"/>
          <w:szCs w:val="21"/>
          <w:u w:val="single"/>
          <w:shd w:val="clear" w:color="auto" w:fill="FFFFFF"/>
        </w:rPr>
        <w:t xml:space="preserve"> 让利 </w:t>
      </w:r>
      <w:r>
        <w:rPr>
          <w:rFonts w:hint="eastAsia" w:ascii="宋体" w:hAnsi="宋体" w:cs="宋体"/>
          <w:szCs w:val="21"/>
          <w:shd w:val="clear" w:color="auto" w:fill="FFFFFF"/>
        </w:rPr>
        <w:t>报价方式</w:t>
      </w:r>
      <w:r>
        <w:rPr>
          <w:rFonts w:hint="eastAsia" w:ascii="宋体" w:hAnsi="宋体" w:cs="宋体"/>
          <w:szCs w:val="21"/>
        </w:rPr>
        <w:t>，包含</w:t>
      </w:r>
      <w:r>
        <w:rPr>
          <w:rFonts w:hint="eastAsia" w:ascii="宋体" w:hAnsi="宋体" w:cs="宋体"/>
          <w:bCs/>
          <w:szCs w:val="21"/>
        </w:rPr>
        <w:t>运抵招标人项目现场，验收合格，卸货至招标人指定位置并摊铺到位，安装调试，含税等一切费用，</w:t>
      </w:r>
      <w:r>
        <w:rPr>
          <w:rFonts w:hint="eastAsia" w:ascii="宋体" w:hAnsi="宋体" w:cs="宋体"/>
          <w:szCs w:val="21"/>
        </w:rPr>
        <w:t>最终结算总价根据最终实际采购数量和让利后的单价确定。</w:t>
      </w:r>
    </w:p>
    <w:p>
      <w:pPr>
        <w:pStyle w:val="14"/>
        <w:widowControl/>
        <w:shd w:val="clear" w:color="auto" w:fill="FFFFFF"/>
        <w:spacing w:beforeAutospacing="0" w:afterAutospacing="0" w:line="360" w:lineRule="auto"/>
        <w:ind w:firstLine="384"/>
        <w:rPr>
          <w:rFonts w:ascii="宋体" w:hAnsi="宋体" w:cs="宋体"/>
          <w:sz w:val="21"/>
          <w:szCs w:val="21"/>
          <w:shd w:val="clear" w:color="auto" w:fill="FFFFFF"/>
        </w:rPr>
      </w:pPr>
      <w:r>
        <w:rPr>
          <w:rFonts w:hint="eastAsia" w:ascii="宋体" w:hAnsi="宋体" w:cs="宋体"/>
          <w:sz w:val="21"/>
          <w:szCs w:val="21"/>
          <w:shd w:val="clear" w:color="auto" w:fill="FFFFFF"/>
        </w:rPr>
        <w:t>3、评标小组采用总价合理低价评分法确定中标人。</w:t>
      </w:r>
    </w:p>
    <w:p>
      <w:pPr>
        <w:pStyle w:val="14"/>
        <w:widowControl/>
        <w:shd w:val="clear" w:color="auto" w:fill="FFFFFF"/>
        <w:spacing w:beforeAutospacing="0" w:afterAutospacing="0" w:line="360" w:lineRule="auto"/>
        <w:ind w:firstLine="384"/>
        <w:rPr>
          <w:rFonts w:ascii="宋体" w:hAnsi="宋体" w:cs="宋体"/>
          <w:sz w:val="21"/>
          <w:szCs w:val="21"/>
          <w:shd w:val="clear" w:color="auto" w:fill="FFFFFF"/>
        </w:rPr>
      </w:pPr>
      <w:r>
        <w:rPr>
          <w:rFonts w:hint="eastAsia" w:ascii="宋体" w:hAnsi="宋体" w:cs="宋体"/>
          <w:sz w:val="21"/>
          <w:szCs w:val="21"/>
          <w:shd w:val="clear" w:color="auto" w:fill="FFFFFF"/>
        </w:rPr>
        <w:t>4、如果遇到相同报价的情况，由招标比价小组进行评审决定。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szCs w:val="21"/>
        </w:rPr>
      </w:pPr>
      <w:r>
        <w:rPr>
          <w:rFonts w:hint="eastAsia" w:ascii="宋体" w:hAnsi="宋体"/>
          <w:b/>
          <w:szCs w:val="21"/>
        </w:rPr>
        <w:t>六、主要合同条款：</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①产品名称、数量（按实际结算）、单价（含运保杂费）、供货时间。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②供货方对质量负责的条件和期限。</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④运输方式及到达站、港费用负担（供货方负担）。</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⑤包装物的供应及回收包装标准。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⑥验收标准和提出异议期限：由招标方验收员按照国家标准抽样验收。若达不到标准要求，所发生的一切后果及费用由投标方承担。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⑦结算方式及期限：按合同约定付款。</w:t>
      </w:r>
    </w:p>
    <w:p>
      <w:pPr>
        <w:autoSpaceDE w:val="0"/>
        <w:autoSpaceDN w:val="0"/>
        <w:adjustRightInd w:val="0"/>
        <w:snapToGrid w:val="0"/>
        <w:spacing w:line="480" w:lineRule="exact"/>
        <w:ind w:firstLine="630" w:firstLineChars="300"/>
        <w:rPr>
          <w:rFonts w:ascii="宋体" w:hAnsi="宋体"/>
          <w:szCs w:val="21"/>
        </w:rPr>
      </w:pPr>
      <w:r>
        <w:rPr>
          <w:rFonts w:hint="eastAsia" w:ascii="宋体" w:hAnsi="宋体"/>
          <w:szCs w:val="21"/>
        </w:rPr>
        <w:t>⑧违约责任。</w:t>
      </w:r>
    </w:p>
    <w:p>
      <w:pPr>
        <w:autoSpaceDE w:val="0"/>
        <w:autoSpaceDN w:val="0"/>
        <w:adjustRightInd w:val="0"/>
        <w:snapToGrid w:val="0"/>
        <w:spacing w:line="480" w:lineRule="exact"/>
        <w:ind w:firstLine="665" w:firstLineChars="317"/>
        <w:rPr>
          <w:rFonts w:ascii="宋体" w:hAnsi="宋体"/>
          <w:szCs w:val="21"/>
        </w:rPr>
      </w:pPr>
      <w:r>
        <w:rPr>
          <w:rFonts w:hint="eastAsia" w:ascii="宋体" w:hAnsi="宋体"/>
          <w:szCs w:val="21"/>
        </w:rPr>
        <w:t>⑨解决合同纠纷的方式：因履行本合同发生争议，如当事人协商不成，由（一）提交仲裁委员会。（二）起诉至当地法院裁决。</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⑩其他约定事项。</w:t>
      </w:r>
    </w:p>
    <w:p>
      <w:pPr>
        <w:pStyle w:val="2"/>
        <w:ind w:left="1260"/>
      </w:pPr>
    </w:p>
    <w:p/>
    <w:p>
      <w:pPr>
        <w:pStyle w:val="2"/>
        <w:ind w:left="0" w:leftChars="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Pr>
        <w:spacing w:line="720" w:lineRule="exact"/>
        <w:jc w:val="center"/>
        <w:rPr>
          <w:rFonts w:ascii="楷体_GB2312" w:eastAsia="楷体_GB2312"/>
          <w:b/>
          <w:sz w:val="30"/>
        </w:rPr>
      </w:pPr>
      <w:r>
        <w:rPr>
          <w:rFonts w:hint="eastAsia" w:ascii="楷体_GB2312" w:eastAsia="楷体_GB2312"/>
          <w:b/>
          <w:sz w:val="30"/>
        </w:rPr>
        <w:t>投标书</w:t>
      </w:r>
    </w:p>
    <w:p>
      <w:pPr>
        <w:spacing w:line="480" w:lineRule="exact"/>
        <w:rPr>
          <w:rFonts w:ascii="楷体_GB2312" w:eastAsia="楷体_GB2312"/>
          <w:sz w:val="28"/>
          <w:szCs w:val="28"/>
        </w:rPr>
      </w:pPr>
      <w:r>
        <w:rPr>
          <w:rFonts w:hint="eastAsia" w:ascii="宋体" w:hAnsi="宋体" w:eastAsia="楷体_GB2312"/>
          <w:spacing w:val="28"/>
          <w:sz w:val="28"/>
          <w:szCs w:val="28"/>
        </w:rPr>
        <w:t>扬州市上善建设工程有限公司</w:t>
      </w:r>
      <w:r>
        <w:rPr>
          <w:rFonts w:hint="eastAsia" w:ascii="楷体_GB2312" w:eastAsia="楷体_GB2312"/>
          <w:sz w:val="28"/>
          <w:szCs w:val="28"/>
        </w:rPr>
        <w:t>：</w:t>
      </w:r>
    </w:p>
    <w:p>
      <w:pPr>
        <w:spacing w:line="480" w:lineRule="exact"/>
        <w:ind w:firstLine="480"/>
        <w:rPr>
          <w:rFonts w:ascii="宋体" w:hAnsi="宋体"/>
          <w:sz w:val="24"/>
        </w:rPr>
      </w:pPr>
      <w:r>
        <w:rPr>
          <w:rFonts w:hint="eastAsia" w:ascii="宋体" w:hAnsi="宋体"/>
          <w:sz w:val="24"/>
        </w:rPr>
        <w:t>你们 招标文件（包括补充文件，如果有的话）收悉，我们经详细审阅和研究，现决定参加投标。</w:t>
      </w:r>
    </w:p>
    <w:p>
      <w:pPr>
        <w:spacing w:line="480" w:lineRule="exact"/>
        <w:rPr>
          <w:rFonts w:ascii="宋体" w:hAnsi="宋体"/>
          <w:sz w:val="24"/>
        </w:rPr>
      </w:pPr>
      <w:r>
        <w:rPr>
          <w:rFonts w:hint="eastAsia" w:ascii="宋体" w:hAnsi="宋体"/>
          <w:sz w:val="24"/>
        </w:rPr>
        <w:t xml:space="preserve">    1.我们愿按照招标文件中的条款、要求，提供所需的招标货物及一切相关的服务，投标价为</w:t>
      </w:r>
      <w:r>
        <w:rPr>
          <w:rFonts w:hint="eastAsia" w:ascii="宋体" w:hAnsi="宋体"/>
          <w:sz w:val="24"/>
          <w:lang w:val="en-US" w:eastAsia="zh-CN"/>
        </w:rPr>
        <w:t>让利</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w:t>
      </w:r>
    </w:p>
    <w:p>
      <w:pPr>
        <w:spacing w:line="480" w:lineRule="exact"/>
        <w:ind w:firstLine="420"/>
        <w:rPr>
          <w:rFonts w:ascii="宋体" w:hAnsi="宋体"/>
          <w:sz w:val="24"/>
        </w:rPr>
      </w:pPr>
      <w:r>
        <w:rPr>
          <w:rFonts w:hint="eastAsia" w:ascii="宋体" w:hAnsi="宋体"/>
          <w:sz w:val="24"/>
        </w:rPr>
        <w:t>2.如果我们中标，我们将在之后的天内交货。</w:t>
      </w:r>
    </w:p>
    <w:p>
      <w:pPr>
        <w:spacing w:line="480" w:lineRule="exact"/>
        <w:ind w:firstLine="420"/>
        <w:rPr>
          <w:rFonts w:ascii="宋体" w:hAnsi="宋体"/>
          <w:sz w:val="24"/>
        </w:rPr>
      </w:pPr>
      <w:r>
        <w:rPr>
          <w:rFonts w:hint="eastAsia" w:ascii="宋体" w:hAnsi="宋体"/>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sz w:val="24"/>
        </w:rPr>
      </w:pPr>
      <w:r>
        <w:rPr>
          <w:rFonts w:hint="eastAsia" w:ascii="宋体" w:hAnsi="宋体"/>
          <w:sz w:val="24"/>
        </w:rPr>
        <w:t xml:space="preserve">    4.我们同意提供招标人要求的有关本次招标的所有资料。</w:t>
      </w:r>
    </w:p>
    <w:p>
      <w:pPr>
        <w:spacing w:line="480" w:lineRule="exact"/>
        <w:ind w:firstLine="480"/>
        <w:rPr>
          <w:rFonts w:ascii="宋体" w:hAnsi="宋体"/>
          <w:sz w:val="24"/>
        </w:rPr>
      </w:pPr>
      <w:r>
        <w:rPr>
          <w:rFonts w:hint="eastAsia" w:ascii="宋体" w:hAnsi="宋体"/>
          <w:sz w:val="24"/>
        </w:rPr>
        <w:t>5.我们理解，你们无义务必须接受投标价最低的投标，并有权拒绝所有的投标。</w:t>
      </w:r>
    </w:p>
    <w:p>
      <w:pPr>
        <w:spacing w:line="480" w:lineRule="exact"/>
        <w:ind w:firstLine="480"/>
        <w:rPr>
          <w:rFonts w:ascii="宋体" w:hAnsi="宋体"/>
          <w:sz w:val="24"/>
        </w:rPr>
      </w:pPr>
      <w:r>
        <w:rPr>
          <w:rFonts w:hint="eastAsia" w:ascii="宋体" w:hAnsi="宋体"/>
          <w:sz w:val="24"/>
        </w:rPr>
        <w:t>6.如果我们中标，为执行合同，我们将按招标文件的要求提供必要的履约保证。</w:t>
      </w:r>
    </w:p>
    <w:p>
      <w:pPr>
        <w:spacing w:line="480" w:lineRule="exact"/>
        <w:rPr>
          <w:rFonts w:ascii="楷体_GB2312" w:eastAsia="楷体_GB2312"/>
          <w:sz w:val="24"/>
        </w:rPr>
      </w:pPr>
    </w:p>
    <w:p>
      <w:pPr>
        <w:spacing w:line="480" w:lineRule="exact"/>
        <w:rPr>
          <w:rFonts w:ascii="楷体_GB2312" w:eastAsia="楷体_GB2312"/>
          <w:sz w:val="24"/>
        </w:rPr>
      </w:pPr>
    </w:p>
    <w:p>
      <w:pPr>
        <w:spacing w:line="480" w:lineRule="exact"/>
        <w:rPr>
          <w:rFonts w:ascii="楷体_GB2312" w:eastAsia="楷体_GB2312"/>
          <w:sz w:val="24"/>
        </w:rPr>
      </w:pPr>
    </w:p>
    <w:p>
      <w:pPr>
        <w:spacing w:line="480" w:lineRule="exact"/>
        <w:jc w:val="center"/>
        <w:rPr>
          <w:rFonts w:ascii="宋体" w:hAnsi="宋体"/>
          <w:sz w:val="24"/>
        </w:rPr>
      </w:pPr>
      <w:r>
        <w:rPr>
          <w:rFonts w:hint="eastAsia" w:ascii="宋体" w:hAnsi="宋体"/>
          <w:sz w:val="24"/>
        </w:rPr>
        <w:t xml:space="preserve">  投标人名称：</w:t>
      </w:r>
    </w:p>
    <w:p>
      <w:pPr>
        <w:spacing w:line="480" w:lineRule="exact"/>
        <w:rPr>
          <w:rFonts w:ascii="宋体" w:hAnsi="宋体"/>
          <w:sz w:val="24"/>
        </w:rPr>
      </w:pPr>
      <w:r>
        <w:rPr>
          <w:rFonts w:hint="eastAsia" w:ascii="宋体" w:hAnsi="宋体"/>
          <w:sz w:val="24"/>
        </w:rPr>
        <w:t xml:space="preserve">                             （盖章）</w:t>
      </w:r>
    </w:p>
    <w:p>
      <w:pPr>
        <w:spacing w:line="480" w:lineRule="exact"/>
        <w:rPr>
          <w:rFonts w:ascii="宋体" w:hAnsi="宋体"/>
          <w:sz w:val="24"/>
        </w:rPr>
      </w:pPr>
      <w:r>
        <w:rPr>
          <w:rFonts w:hint="eastAsia" w:ascii="宋体" w:hAnsi="宋体"/>
          <w:sz w:val="24"/>
        </w:rPr>
        <w:t xml:space="preserve">                              地址：               邮编：</w:t>
      </w:r>
    </w:p>
    <w:p>
      <w:pPr>
        <w:spacing w:line="480" w:lineRule="exact"/>
        <w:rPr>
          <w:rFonts w:ascii="宋体" w:hAnsi="宋体"/>
          <w:sz w:val="24"/>
        </w:rPr>
      </w:pPr>
      <w:r>
        <w:rPr>
          <w:rFonts w:hint="eastAsia" w:ascii="宋体" w:hAnsi="宋体"/>
          <w:sz w:val="24"/>
        </w:rPr>
        <w:t xml:space="preserve">                              电话：               传真：</w:t>
      </w:r>
    </w:p>
    <w:p>
      <w:pPr>
        <w:spacing w:line="480" w:lineRule="exact"/>
        <w:rPr>
          <w:rFonts w:ascii="宋体" w:hAnsi="宋体"/>
          <w:sz w:val="24"/>
        </w:rPr>
      </w:pPr>
      <w:r>
        <w:rPr>
          <w:rFonts w:hint="eastAsia" w:ascii="宋体" w:hAnsi="宋体"/>
          <w:sz w:val="24"/>
        </w:rPr>
        <w:t xml:space="preserve">                              授权代表签字：</w:t>
      </w:r>
    </w:p>
    <w:p>
      <w:pPr>
        <w:spacing w:line="480" w:lineRule="exact"/>
        <w:rPr>
          <w:rFonts w:ascii="宋体" w:hAnsi="宋体"/>
          <w:sz w:val="24"/>
        </w:rPr>
      </w:pPr>
      <w:r>
        <w:rPr>
          <w:rFonts w:hint="eastAsia" w:ascii="宋体" w:hAnsi="宋体"/>
          <w:sz w:val="24"/>
        </w:rPr>
        <w:t xml:space="preserve">                              职务：</w:t>
      </w:r>
    </w:p>
    <w:p>
      <w:pPr>
        <w:spacing w:line="480" w:lineRule="exact"/>
        <w:rPr>
          <w:rFonts w:ascii="宋体" w:hAnsi="宋体"/>
          <w:sz w:val="24"/>
        </w:rPr>
      </w:pPr>
      <w:r>
        <w:rPr>
          <w:rFonts w:hint="eastAsia" w:ascii="宋体" w:hAnsi="宋体"/>
          <w:sz w:val="24"/>
        </w:rPr>
        <w:t xml:space="preserve">                              日期：</w:t>
      </w: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spacing w:line="480" w:lineRule="exact"/>
        <w:rPr>
          <w:rFonts w:ascii="宋体" w:hAnsi="宋体"/>
          <w:sz w:val="24"/>
        </w:rPr>
      </w:pPr>
    </w:p>
    <w:p>
      <w:pPr>
        <w:pStyle w:val="2"/>
        <w:ind w:left="1260"/>
      </w:pPr>
    </w:p>
    <w:p/>
    <w:p>
      <w:pPr>
        <w:pStyle w:val="2"/>
        <w:ind w:left="1260"/>
      </w:pPr>
    </w:p>
    <w:p>
      <w:pPr>
        <w:pStyle w:val="2"/>
        <w:ind w:left="1260"/>
      </w:pPr>
    </w:p>
    <w:p>
      <w:pPr>
        <w:spacing w:line="560" w:lineRule="exact"/>
        <w:jc w:val="center"/>
        <w:rPr>
          <w:rFonts w:ascii="黑体" w:eastAsia="黑体"/>
          <w:sz w:val="36"/>
        </w:rPr>
      </w:pPr>
      <w:r>
        <w:rPr>
          <w:rFonts w:hint="eastAsia" w:ascii="黑体" w:eastAsia="黑体"/>
          <w:sz w:val="36"/>
        </w:rPr>
        <w:t>2、开标一览表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制 造 厂 商</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价格</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7</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8</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11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14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15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r>
              <w:rPr>
                <w:rFonts w:hint="eastAsia" w:ascii="宋体" w:hAnsi="宋体"/>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r>
              <w:rPr>
                <w:rFonts w:hint="eastAsia" w:ascii="宋体" w:hAnsi="宋体"/>
                <w:sz w:val="24"/>
              </w:rPr>
              <w:t>交 货 期</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sz w:val="24"/>
              </w:rPr>
            </w:pPr>
          </w:p>
        </w:tc>
      </w:tr>
    </w:tbl>
    <w:p>
      <w:pPr>
        <w:spacing w:line="560" w:lineRule="exact"/>
        <w:rPr>
          <w:rFonts w:ascii="宋体" w:hAnsi="宋体"/>
          <w:sz w:val="24"/>
        </w:rPr>
      </w:pPr>
      <w:r>
        <w:rPr>
          <w:rFonts w:hint="eastAsia" w:ascii="宋体" w:hAnsi="宋体"/>
          <w:sz w:val="24"/>
        </w:rPr>
        <w:t>投标人全称：（盖章或签字）</w:t>
      </w:r>
    </w:p>
    <w:p>
      <w:pPr>
        <w:spacing w:line="560" w:lineRule="exact"/>
        <w:rPr>
          <w:rFonts w:ascii="宋体" w:hAnsi="宋体"/>
          <w:sz w:val="24"/>
        </w:rPr>
      </w:pPr>
      <w:r>
        <w:rPr>
          <w:rFonts w:hint="eastAsia" w:ascii="宋体" w:hAnsi="宋体"/>
          <w:sz w:val="24"/>
        </w:rPr>
        <w:t>授权代表签字：</w:t>
      </w:r>
    </w:p>
    <w:p>
      <w:pPr>
        <w:spacing w:line="560" w:lineRule="exact"/>
        <w:rPr>
          <w:rFonts w:ascii="宋体" w:hAnsi="宋体"/>
          <w:sz w:val="24"/>
        </w:rPr>
      </w:pPr>
      <w:r>
        <w:rPr>
          <w:rFonts w:hint="eastAsia" w:ascii="宋体" w:hAnsi="宋体"/>
          <w:sz w:val="24"/>
        </w:rPr>
        <w:t>日  期：</w:t>
      </w:r>
    </w:p>
    <w:p>
      <w:pPr>
        <w:spacing w:line="560" w:lineRule="exact"/>
        <w:rPr>
          <w:rFonts w:ascii="宋体" w:hAnsi="宋体"/>
          <w:sz w:val="24"/>
        </w:rPr>
      </w:pPr>
      <w:r>
        <w:rPr>
          <w:rFonts w:hint="eastAsia" w:ascii="宋体" w:hAnsi="宋体"/>
          <w:sz w:val="24"/>
        </w:rPr>
        <w:t xml:space="preserve">说明：1、不得填报选择性报价方案； </w:t>
      </w:r>
    </w:p>
    <w:p>
      <w:pPr>
        <w:spacing w:line="560" w:lineRule="exact"/>
        <w:ind w:firstLine="720" w:firstLineChars="300"/>
        <w:rPr>
          <w:rFonts w:ascii="宋体" w:hAnsi="宋体"/>
          <w:sz w:val="24"/>
        </w:rPr>
      </w:pPr>
      <w:r>
        <w:rPr>
          <w:rFonts w:hint="eastAsia" w:ascii="宋体" w:hAnsi="宋体"/>
          <w:sz w:val="24"/>
        </w:rPr>
        <w:t>2、此表一式两份，按招标文件要求封装，装入正本袋中。</w:t>
      </w:r>
    </w:p>
    <w:p>
      <w:pPr>
        <w:spacing w:line="560" w:lineRule="exact"/>
        <w:ind w:firstLine="720" w:firstLineChars="300"/>
        <w:rPr>
          <w:rFonts w:ascii="宋体" w:hAnsi="宋体"/>
          <w:sz w:val="24"/>
        </w:rPr>
      </w:pPr>
      <w:r>
        <w:rPr>
          <w:rFonts w:hint="eastAsia" w:ascii="宋体" w:hAnsi="宋体"/>
          <w:sz w:val="24"/>
        </w:rPr>
        <w:t>3、如因投标人填写有误，导致无法唱标，责任由投标人自负。</w:t>
      </w:r>
    </w:p>
    <w:p>
      <w:pPr>
        <w:spacing w:line="560" w:lineRule="exact"/>
        <w:rPr>
          <w:rFonts w:ascii="楷体_GB2312" w:eastAsia="楷体_GB2312"/>
          <w:b/>
          <w:sz w:val="28"/>
          <w:szCs w:val="28"/>
        </w:rPr>
      </w:pPr>
    </w:p>
    <w:p>
      <w:pPr>
        <w:pStyle w:val="2"/>
        <w:ind w:left="1260"/>
      </w:pPr>
    </w:p>
    <w:p/>
    <w:p>
      <w:pPr>
        <w:pStyle w:val="2"/>
        <w:ind w:left="1260"/>
      </w:pPr>
    </w:p>
    <w:p/>
    <w:p>
      <w:pPr>
        <w:spacing w:line="560" w:lineRule="exact"/>
        <w:jc w:val="center"/>
        <w:rPr>
          <w:rFonts w:ascii="黑体" w:eastAsia="黑体"/>
          <w:sz w:val="36"/>
        </w:rPr>
      </w:pPr>
      <w:r>
        <w:rPr>
          <w:rFonts w:hint="eastAsia" w:ascii="黑体" w:eastAsia="黑体"/>
          <w:sz w:val="36"/>
        </w:rPr>
        <w:t>3.授权委托书(如有)</w:t>
      </w:r>
    </w:p>
    <w:p>
      <w:pPr>
        <w:spacing w:line="560" w:lineRule="exact"/>
        <w:rPr>
          <w:rFonts w:ascii="楷体_GB2312" w:eastAsia="楷体_GB2312"/>
          <w:sz w:val="24"/>
        </w:rPr>
      </w:pPr>
    </w:p>
    <w:p>
      <w:pPr>
        <w:spacing w:after="240" w:line="360" w:lineRule="auto"/>
        <w:jc w:val="center"/>
        <w:rPr>
          <w:rFonts w:ascii="宋体" w:hAnsi="宋体"/>
          <w:b/>
          <w:sz w:val="32"/>
        </w:rPr>
      </w:pPr>
      <w:r>
        <w:rPr>
          <w:rFonts w:hint="eastAsia" w:ascii="宋体" w:hAnsi="宋体"/>
          <w:b/>
          <w:sz w:val="32"/>
        </w:rPr>
        <w:t>授 权 委 托 书</w:t>
      </w:r>
    </w:p>
    <w:p>
      <w:pPr>
        <w:topLinePunct/>
        <w:spacing w:line="360" w:lineRule="auto"/>
        <w:ind w:firstLine="480" w:firstLineChars="200"/>
        <w:rPr>
          <w:sz w:val="24"/>
          <w:u w:val="single"/>
        </w:rPr>
      </w:pPr>
      <w:r>
        <w:rPr>
          <w:rFonts w:hint="eastAsia"/>
          <w:sz w:val="24"/>
        </w:rPr>
        <w:t>本人（姓名）系（投标人名称）的法定代表人，现委托</w:t>
      </w:r>
    </w:p>
    <w:p>
      <w:pPr>
        <w:topLinePunct/>
        <w:spacing w:line="360" w:lineRule="auto"/>
        <w:rPr>
          <w:sz w:val="24"/>
        </w:rPr>
      </w:pPr>
      <w:r>
        <w:rPr>
          <w:rFonts w:hint="eastAsia"/>
          <w:sz w:val="24"/>
        </w:rPr>
        <w:t>（姓名）为我方代理人。代理人根据授权，以我方名义签署、澄清、说明、补正、递交、撤回、修改</w:t>
      </w:r>
      <w:r>
        <w:rPr>
          <w:rFonts w:hint="eastAsia" w:ascii="宋体" w:hAnsi="宋体"/>
          <w:sz w:val="24"/>
        </w:rPr>
        <w:t>项目（项目名称）</w:t>
      </w:r>
      <w:r>
        <w:rPr>
          <w:rFonts w:hint="eastAsia"/>
          <w:sz w:val="24"/>
        </w:rPr>
        <w:t>投标文件、签订合同和处理有关事宜，其法律后果由我方承担。</w:t>
      </w:r>
    </w:p>
    <w:p>
      <w:pPr>
        <w:spacing w:line="360" w:lineRule="auto"/>
        <w:rPr>
          <w:sz w:val="24"/>
        </w:rPr>
      </w:pPr>
      <w:r>
        <w:rPr>
          <w:rFonts w:hint="eastAsia"/>
          <w:sz w:val="24"/>
        </w:rPr>
        <w:t>代理人无转委托权。</w:t>
      </w:r>
    </w:p>
    <w:p>
      <w:pPr>
        <w:spacing w:line="360" w:lineRule="auto"/>
        <w:rPr>
          <w:sz w:val="24"/>
        </w:rPr>
      </w:pPr>
    </w:p>
    <w:p>
      <w:pPr>
        <w:spacing w:line="440" w:lineRule="exact"/>
        <w:rPr>
          <w:sz w:val="24"/>
        </w:rPr>
      </w:pPr>
      <w:r>
        <w:rPr>
          <w:rFonts w:hint="eastAsia"/>
          <w:sz w:val="24"/>
        </w:rPr>
        <w:t>投标人：（盖单位章）</w:t>
      </w:r>
    </w:p>
    <w:p>
      <w:pPr>
        <w:spacing w:line="440" w:lineRule="exact"/>
        <w:rPr>
          <w:sz w:val="24"/>
        </w:rPr>
      </w:pPr>
    </w:p>
    <w:p>
      <w:pPr>
        <w:spacing w:line="440" w:lineRule="exact"/>
        <w:rPr>
          <w:sz w:val="24"/>
        </w:rPr>
      </w:pPr>
      <w:r>
        <w:rPr>
          <w:rFonts w:hint="eastAsia"/>
          <w:sz w:val="24"/>
        </w:rPr>
        <w:t>法定代表人：（签字）</w:t>
      </w:r>
    </w:p>
    <w:p>
      <w:pPr>
        <w:spacing w:line="440" w:lineRule="exact"/>
        <w:rPr>
          <w:sz w:val="24"/>
        </w:rPr>
      </w:pPr>
    </w:p>
    <w:p>
      <w:pPr>
        <w:spacing w:line="440" w:lineRule="exact"/>
        <w:rPr>
          <w:sz w:val="24"/>
        </w:rPr>
      </w:pPr>
      <w:r>
        <w:rPr>
          <w:rFonts w:hint="eastAsia"/>
          <w:sz w:val="24"/>
        </w:rPr>
        <w:t>身份证号码：</w:t>
      </w:r>
    </w:p>
    <w:p>
      <w:pPr>
        <w:spacing w:line="440" w:lineRule="exact"/>
        <w:rPr>
          <w:sz w:val="24"/>
        </w:rPr>
      </w:pPr>
    </w:p>
    <w:p>
      <w:pPr>
        <w:spacing w:line="440" w:lineRule="exact"/>
        <w:rPr>
          <w:sz w:val="24"/>
        </w:rPr>
      </w:pPr>
      <w:r>
        <w:rPr>
          <w:rFonts w:hint="eastAsia"/>
          <w:sz w:val="24"/>
        </w:rPr>
        <w:t>委托代理人：（签字）</w:t>
      </w:r>
    </w:p>
    <w:p>
      <w:pPr>
        <w:spacing w:line="440" w:lineRule="exact"/>
        <w:rPr>
          <w:sz w:val="24"/>
        </w:rPr>
      </w:pPr>
    </w:p>
    <w:p>
      <w:pPr>
        <w:spacing w:line="440" w:lineRule="exact"/>
        <w:rPr>
          <w:sz w:val="24"/>
        </w:rPr>
      </w:pPr>
      <w:r>
        <w:rPr>
          <w:rFonts w:hint="eastAsia"/>
          <w:sz w:val="24"/>
        </w:rPr>
        <w:t>身份证号码：附身份证复印件</w:t>
      </w:r>
    </w:p>
    <w:p>
      <w:pPr>
        <w:spacing w:line="440" w:lineRule="exact"/>
        <w:rPr>
          <w:sz w:val="24"/>
        </w:rPr>
      </w:pPr>
    </w:p>
    <w:p>
      <w:pPr>
        <w:spacing w:line="440" w:lineRule="exact"/>
        <w:rPr>
          <w:sz w:val="24"/>
        </w:rPr>
      </w:pPr>
    </w:p>
    <w:p>
      <w:pPr>
        <w:spacing w:line="560" w:lineRule="exact"/>
        <w:rPr>
          <w:rFonts w:ascii="楷体_GB2312" w:eastAsia="楷体_GB2312"/>
          <w:sz w:val="24"/>
        </w:rPr>
      </w:pPr>
      <w:r>
        <w:rPr>
          <w:rFonts w:hint="eastAsia"/>
          <w:sz w:val="24"/>
        </w:rPr>
        <w:t>年月日</w:t>
      </w:r>
    </w:p>
    <w:p>
      <w:pPr>
        <w:spacing w:line="560" w:lineRule="exact"/>
        <w:rPr>
          <w:rFonts w:ascii="楷体_GB2312" w:eastAsia="楷体_GB2312"/>
          <w:sz w:val="24"/>
        </w:rPr>
      </w:pPr>
    </w:p>
    <w:p>
      <w:pPr>
        <w:spacing w:line="560" w:lineRule="exact"/>
        <w:rPr>
          <w:rFonts w:ascii="楷体_GB2312" w:eastAsia="楷体_GB2312"/>
          <w:sz w:val="24"/>
        </w:rPr>
      </w:pPr>
    </w:p>
    <w:p>
      <w:pPr>
        <w:spacing w:line="560" w:lineRule="exact"/>
        <w:rPr>
          <w:rFonts w:ascii="楷体_GB2312" w:eastAsia="楷体_GB2312"/>
          <w:sz w:val="24"/>
        </w:rPr>
      </w:pPr>
    </w:p>
    <w:p>
      <w:pPr>
        <w:spacing w:line="560" w:lineRule="exact"/>
        <w:rPr>
          <w:rFonts w:ascii="楷体_GB2312" w:eastAsia="楷体_GB2312"/>
          <w:sz w:val="24"/>
        </w:rPr>
      </w:pPr>
    </w:p>
    <w:p>
      <w:pPr>
        <w:spacing w:line="560" w:lineRule="exact"/>
        <w:rPr>
          <w:rFonts w:ascii="楷体_GB2312" w:eastAsia="楷体_GB2312"/>
          <w:sz w:val="24"/>
        </w:rPr>
      </w:pPr>
    </w:p>
    <w:p>
      <w:pPr>
        <w:spacing w:line="560" w:lineRule="exact"/>
        <w:rPr>
          <w:rFonts w:ascii="楷体_GB2312" w:eastAsia="楷体_GB2312"/>
          <w:sz w:val="24"/>
        </w:rPr>
      </w:pPr>
    </w:p>
    <w:p>
      <w:pPr>
        <w:spacing w:line="720" w:lineRule="exact"/>
        <w:jc w:val="center"/>
        <w:rPr>
          <w:rFonts w:ascii="黑体" w:eastAsia="黑体"/>
          <w:sz w:val="36"/>
        </w:rPr>
      </w:pPr>
    </w:p>
    <w:p>
      <w:pPr>
        <w:spacing w:line="720" w:lineRule="exact"/>
        <w:jc w:val="center"/>
        <w:rPr>
          <w:rFonts w:ascii="楷体_GB2312" w:eastAsia="楷体_GB2312"/>
          <w:sz w:val="36"/>
        </w:rPr>
      </w:pPr>
      <w:r>
        <w:rPr>
          <w:rFonts w:hint="eastAsia" w:ascii="黑体" w:eastAsia="黑体"/>
          <w:sz w:val="36"/>
        </w:rPr>
        <w:t>4.制造商授权书格式(如有)</w:t>
      </w:r>
    </w:p>
    <w:p>
      <w:pPr>
        <w:spacing w:line="720" w:lineRule="exact"/>
        <w:jc w:val="center"/>
        <w:rPr>
          <w:rFonts w:ascii="楷体_GB2312" w:eastAsia="楷体_GB2312"/>
          <w:b/>
          <w:sz w:val="30"/>
        </w:rPr>
      </w:pPr>
      <w:r>
        <w:rPr>
          <w:rFonts w:hint="eastAsia" w:ascii="楷体_GB2312" w:eastAsia="楷体_GB2312"/>
          <w:b/>
          <w:sz w:val="30"/>
        </w:rPr>
        <w:t>制造商授权书</w:t>
      </w:r>
    </w:p>
    <w:p>
      <w:pPr>
        <w:spacing w:line="480" w:lineRule="exact"/>
        <w:rPr>
          <w:rFonts w:ascii="楷体_GB2312" w:eastAsia="楷体_GB2312"/>
          <w:sz w:val="28"/>
          <w:szCs w:val="28"/>
        </w:rPr>
      </w:pPr>
      <w:r>
        <w:rPr>
          <w:rFonts w:hint="eastAsia" w:ascii="宋体" w:hAnsi="宋体" w:eastAsia="楷体_GB2312"/>
          <w:spacing w:val="28"/>
          <w:sz w:val="28"/>
          <w:szCs w:val="28"/>
        </w:rPr>
        <w:t>扬州市上善建设工程有限公司</w:t>
      </w:r>
      <w:r>
        <w:rPr>
          <w:rFonts w:hint="eastAsia" w:ascii="楷体_GB2312" w:eastAsia="楷体_GB2312"/>
          <w:sz w:val="28"/>
          <w:szCs w:val="28"/>
        </w:rPr>
        <w:t>：</w:t>
      </w:r>
    </w:p>
    <w:p>
      <w:pPr>
        <w:spacing w:line="560" w:lineRule="exact"/>
        <w:rPr>
          <w:rFonts w:ascii="宋体" w:hAnsi="宋体"/>
          <w:sz w:val="24"/>
        </w:rPr>
      </w:pPr>
      <w:r>
        <w:rPr>
          <w:rFonts w:hint="eastAsia" w:ascii="宋体" w:hAnsi="宋体"/>
          <w:sz w:val="24"/>
        </w:rPr>
        <w:t xml:space="preserve">    位于</w:t>
      </w:r>
      <w:r>
        <w:rPr>
          <w:rFonts w:hint="eastAsia" w:ascii="宋体" w:hAnsi="宋体"/>
          <w:sz w:val="24"/>
          <w:u w:val="single"/>
        </w:rPr>
        <w:t>（制造厂家地址）</w:t>
      </w:r>
      <w:r>
        <w:rPr>
          <w:rFonts w:hint="eastAsia" w:ascii="宋体" w:hAnsi="宋体"/>
          <w:sz w:val="24"/>
        </w:rPr>
        <w:t>的</w:t>
      </w:r>
      <w:r>
        <w:rPr>
          <w:rFonts w:hint="eastAsia" w:ascii="宋体" w:hAnsi="宋体"/>
          <w:sz w:val="24"/>
          <w:u w:val="single"/>
        </w:rPr>
        <w:t>（制造厂家名称）</w:t>
      </w:r>
      <w:r>
        <w:rPr>
          <w:rFonts w:hint="eastAsia" w:ascii="宋体" w:hAnsi="宋体"/>
          <w:sz w:val="24"/>
        </w:rPr>
        <w:t>是有声望的制造（货物名称和描述）的制造者，在此授权</w:t>
      </w:r>
      <w:r>
        <w:rPr>
          <w:rFonts w:hint="eastAsia" w:ascii="宋体" w:hAnsi="宋体"/>
          <w:sz w:val="24"/>
          <w:u w:val="single"/>
        </w:rPr>
        <w:t>（代理机构名称和地址）</w:t>
      </w:r>
      <w:r>
        <w:rPr>
          <w:rFonts w:hint="eastAsia" w:ascii="宋体" w:hAnsi="宋体"/>
          <w:sz w:val="24"/>
        </w:rPr>
        <w:t>就</w:t>
      </w:r>
      <w:r>
        <w:rPr>
          <w:rFonts w:hint="eastAsia"/>
          <w:sz w:val="24"/>
        </w:rPr>
        <w:t>扬州市上善建设工程有限公司</w:t>
      </w:r>
      <w:r>
        <w:rPr>
          <w:rFonts w:hint="eastAsia" w:ascii="宋体" w:hAnsi="宋体"/>
          <w:sz w:val="24"/>
        </w:rPr>
        <w:t>招标用我厂制造的货物递交投标文件，并与买方进行后续合同谈判和签订合同。</w:t>
      </w:r>
    </w:p>
    <w:p>
      <w:pPr>
        <w:spacing w:line="560" w:lineRule="exact"/>
        <w:rPr>
          <w:rFonts w:ascii="宋体" w:hAnsi="宋体"/>
          <w:sz w:val="24"/>
        </w:rPr>
      </w:pPr>
      <w:r>
        <w:rPr>
          <w:rFonts w:hint="eastAsia" w:ascii="宋体" w:hAnsi="宋体"/>
          <w:sz w:val="24"/>
        </w:rPr>
        <w:t xml:space="preserve">    我方在此保证为上述公司响应本次招标而提供的货物按照招标文件合同条款的规定提供全部质量保证。</w:t>
      </w: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p>
    <w:p>
      <w:pPr>
        <w:spacing w:line="560" w:lineRule="exact"/>
        <w:rPr>
          <w:rFonts w:ascii="宋体" w:hAnsi="宋体"/>
          <w:sz w:val="24"/>
        </w:rPr>
      </w:pPr>
      <w:r>
        <w:rPr>
          <w:rFonts w:hint="eastAsia" w:ascii="宋体" w:hAnsi="宋体"/>
          <w:sz w:val="24"/>
        </w:rPr>
        <w:t xml:space="preserve">                                         制造厂家：</w:t>
      </w:r>
    </w:p>
    <w:p>
      <w:pPr>
        <w:spacing w:line="560" w:lineRule="exact"/>
        <w:rPr>
          <w:rFonts w:ascii="宋体" w:hAnsi="宋体"/>
          <w:sz w:val="24"/>
        </w:rPr>
      </w:pPr>
      <w:r>
        <w:rPr>
          <w:rFonts w:hint="eastAsia" w:ascii="宋体" w:hAnsi="宋体"/>
          <w:sz w:val="24"/>
        </w:rPr>
        <w:t xml:space="preserve">                                     授权代表签字：</w:t>
      </w:r>
    </w:p>
    <w:p>
      <w:pPr>
        <w:spacing w:line="560" w:lineRule="exact"/>
        <w:rPr>
          <w:rFonts w:ascii="宋体" w:hAnsi="宋体"/>
          <w:sz w:val="24"/>
        </w:rPr>
      </w:pPr>
      <w:r>
        <w:rPr>
          <w:rFonts w:hint="eastAsia" w:ascii="宋体" w:hAnsi="宋体"/>
          <w:sz w:val="24"/>
        </w:rPr>
        <w:t xml:space="preserve">                                             职务：</w:t>
      </w:r>
    </w:p>
    <w:p>
      <w:pPr>
        <w:spacing w:line="560" w:lineRule="exact"/>
        <w:rPr>
          <w:rFonts w:ascii="宋体" w:hAnsi="宋体"/>
          <w:sz w:val="24"/>
        </w:rPr>
      </w:pPr>
      <w:r>
        <w:rPr>
          <w:rFonts w:hint="eastAsia" w:ascii="宋体" w:hAnsi="宋体"/>
          <w:sz w:val="24"/>
        </w:rPr>
        <w:t xml:space="preserve">                                             日期：</w:t>
      </w:r>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pStyle w:val="2"/>
        <w:ind w:left="1260"/>
      </w:pPr>
    </w:p>
    <w:p/>
    <w:p>
      <w:pPr>
        <w:spacing w:line="360" w:lineRule="auto"/>
        <w:ind w:firstLine="5498" w:firstLineChars="2291"/>
        <w:rPr>
          <w:rFonts w:ascii="方正小标宋_GBK" w:hAnsi="宋体" w:eastAsia="方正小标宋_GBK"/>
          <w:b/>
          <w:bCs/>
          <w:sz w:val="72"/>
          <w:szCs w:val="72"/>
        </w:rPr>
      </w:pPr>
      <w:r>
        <w:rPr>
          <w:rFonts w:hint="eastAsia" w:ascii="方正仿宋_GBK" w:hAnsi="方正仿宋_GBK" w:eastAsia="方正仿宋_GBK" w:cs="方正仿宋_GBK"/>
          <w:bCs/>
          <w:sz w:val="24"/>
        </w:rPr>
        <w:t>合同编号：</w:t>
      </w:r>
    </w:p>
    <w:p>
      <w:pPr>
        <w:spacing w:line="360" w:lineRule="auto"/>
        <w:rPr>
          <w:rFonts w:ascii="方正小标宋_GBK" w:hAnsi="宋体" w:eastAsia="方正小标宋_GBK"/>
          <w:b/>
          <w:bCs/>
          <w:sz w:val="72"/>
          <w:szCs w:val="72"/>
        </w:rPr>
      </w:pPr>
    </w:p>
    <w:p>
      <w:pPr>
        <w:spacing w:line="360" w:lineRule="auto"/>
        <w:rPr>
          <w:rFonts w:ascii="方正小标宋_GBK" w:hAnsi="宋体" w:eastAsia="方正小标宋_GBK"/>
          <w:b/>
          <w:bCs/>
          <w:sz w:val="72"/>
          <w:szCs w:val="72"/>
        </w:rPr>
      </w:pPr>
    </w:p>
    <w:p>
      <w:pPr>
        <w:spacing w:line="360" w:lineRule="auto"/>
        <w:jc w:val="center"/>
        <w:rPr>
          <w:rFonts w:ascii="方正仿宋_GBK" w:hAnsi="方正仿宋_GBK" w:eastAsia="方正仿宋_GBK" w:cs="方正仿宋_GBK"/>
          <w:bCs/>
          <w:sz w:val="72"/>
          <w:szCs w:val="72"/>
        </w:rPr>
      </w:pPr>
      <w:r>
        <w:rPr>
          <w:rFonts w:hint="eastAsia" w:ascii="方正小标宋_GBK" w:hAnsi="宋体" w:eastAsia="方正小标宋_GBK"/>
          <w:b/>
          <w:bCs/>
          <w:sz w:val="72"/>
          <w:szCs w:val="72"/>
        </w:rPr>
        <w:t>采 购 合 同</w:t>
      </w: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498" w:firstLineChars="2291"/>
        <w:rPr>
          <w:rFonts w:ascii="方正仿宋_GBK" w:hAnsi="方正仿宋_GBK" w:eastAsia="方正仿宋_GBK" w:cs="方正仿宋_GBK"/>
          <w:bCs/>
          <w:sz w:val="24"/>
        </w:rPr>
      </w:pPr>
    </w:p>
    <w:p>
      <w:pPr>
        <w:spacing w:line="360" w:lineRule="auto"/>
        <w:ind w:firstLine="5520" w:firstLineChars="2291"/>
        <w:rPr>
          <w:rFonts w:ascii="方正仿宋_GBK" w:hAnsi="方正仿宋_GBK" w:eastAsia="方正仿宋_GBK" w:cs="方正仿宋_GBK"/>
          <w:b/>
          <w:bCs/>
          <w:sz w:val="24"/>
          <w:u w:val="single"/>
        </w:rPr>
      </w:pPr>
    </w:p>
    <w:p>
      <w:pPr>
        <w:spacing w:line="360" w:lineRule="auto"/>
        <w:jc w:val="center"/>
        <w:rPr>
          <w:rFonts w:ascii="方正小标宋_GBK" w:hAnsi="宋体" w:eastAsia="方正小标宋_GBK"/>
          <w:b/>
          <w:bCs/>
          <w:sz w:val="36"/>
          <w:szCs w:val="36"/>
          <w:u w:val="single"/>
        </w:rPr>
      </w:pPr>
    </w:p>
    <w:p>
      <w:pPr>
        <w:spacing w:line="360" w:lineRule="auto"/>
        <w:jc w:val="center"/>
        <w:rPr>
          <w:rFonts w:ascii="方正小标宋_GBK" w:hAnsi="宋体" w:eastAsia="方正小标宋_GBK"/>
          <w:b/>
          <w:bCs/>
          <w:sz w:val="36"/>
          <w:szCs w:val="36"/>
          <w:u w:val="single"/>
        </w:rPr>
      </w:pPr>
    </w:p>
    <w:p>
      <w:pPr>
        <w:spacing w:line="360" w:lineRule="auto"/>
        <w:jc w:val="center"/>
        <w:rPr>
          <w:rFonts w:ascii="方正小标宋_GBK" w:hAnsi="宋体" w:eastAsia="方正小标宋_GBK"/>
          <w:b/>
          <w:bCs/>
          <w:sz w:val="36"/>
          <w:szCs w:val="36"/>
          <w:u w:val="single"/>
        </w:rPr>
      </w:pPr>
    </w:p>
    <w:p>
      <w:pPr>
        <w:spacing w:line="360" w:lineRule="auto"/>
        <w:jc w:val="center"/>
        <w:rPr>
          <w:rFonts w:ascii="方正小标宋_GBK" w:hAnsi="宋体" w:eastAsia="方正小标宋_GBK"/>
          <w:b/>
          <w:bCs/>
          <w:sz w:val="36"/>
          <w:szCs w:val="36"/>
          <w:u w:val="single"/>
        </w:rPr>
      </w:pPr>
    </w:p>
    <w:p>
      <w:pPr>
        <w:spacing w:line="360" w:lineRule="auto"/>
        <w:jc w:val="center"/>
        <w:rPr>
          <w:rFonts w:ascii="方正小标宋_GBK" w:hAnsi="宋体" w:eastAsia="方正小标宋_GBK"/>
          <w:b/>
          <w:bCs/>
          <w:sz w:val="36"/>
          <w:szCs w:val="36"/>
          <w:u w:val="single"/>
        </w:rPr>
      </w:pPr>
    </w:p>
    <w:p>
      <w:pPr>
        <w:wordWrap w:val="0"/>
        <w:spacing w:line="360" w:lineRule="auto"/>
        <w:jc w:val="right"/>
        <w:rPr>
          <w:rFonts w:ascii="方正小标宋_GBK" w:hAnsi="宋体" w:eastAsia="方正仿宋_GBK"/>
          <w:b/>
          <w:bCs/>
          <w:sz w:val="36"/>
          <w:szCs w:val="36"/>
          <w:u w:val="single"/>
        </w:rPr>
      </w:pPr>
      <w:r>
        <w:rPr>
          <w:rFonts w:hint="eastAsia" w:ascii="方正仿宋_GBK" w:hAnsi="方正仿宋_GBK" w:eastAsia="方正仿宋_GBK" w:cs="方正仿宋_GBK"/>
          <w:bCs/>
          <w:sz w:val="24"/>
        </w:rPr>
        <w:t>合同编号：</w:t>
      </w:r>
    </w:p>
    <w:p>
      <w:pPr>
        <w:spacing w:line="360" w:lineRule="auto"/>
        <w:jc w:val="center"/>
        <w:rPr>
          <w:rFonts w:ascii="方正小标宋_GBK" w:hAnsi="宋体" w:eastAsia="方正小标宋_GBK"/>
          <w:b/>
          <w:bCs/>
          <w:sz w:val="36"/>
          <w:szCs w:val="36"/>
        </w:rPr>
      </w:pPr>
      <w:r>
        <w:rPr>
          <w:rFonts w:hint="eastAsia" w:ascii="方正小标宋_GBK" w:hAnsi="宋体" w:eastAsia="方正小标宋_GBK"/>
          <w:b/>
          <w:bCs/>
          <w:sz w:val="36"/>
          <w:szCs w:val="36"/>
        </w:rPr>
        <w:t>采购合同</w:t>
      </w:r>
    </w:p>
    <w:p>
      <w:pPr>
        <w:spacing w:line="360" w:lineRule="auto"/>
        <w:jc w:val="center"/>
        <w:rPr>
          <w:rFonts w:ascii="方正小标宋_GBK" w:hAnsi="宋体" w:eastAsia="方正小标宋_GBK"/>
          <w:b/>
          <w:bCs/>
          <w:sz w:val="36"/>
          <w:szCs w:val="36"/>
        </w:rPr>
      </w:pPr>
    </w:p>
    <w:p>
      <w:pPr>
        <w:spacing w:line="360" w:lineRule="auto"/>
        <w:rPr>
          <w:rFonts w:ascii="方正仿宋_GBK" w:hAnsi="方正仿宋_GBK" w:eastAsia="方正仿宋_GBK" w:cs="方正仿宋_GBK"/>
          <w:b/>
          <w:sz w:val="24"/>
        </w:rPr>
      </w:pPr>
      <w:r>
        <w:rPr>
          <w:rFonts w:hint="eastAsia" w:ascii="方正仿宋_GBK" w:hAnsi="方正仿宋_GBK" w:eastAsia="方正仿宋_GBK" w:cs="方正仿宋_GBK"/>
          <w:b/>
          <w:sz w:val="24"/>
        </w:rPr>
        <w:t>甲方（需方）：扬州市上善建设</w:t>
      </w:r>
      <w:r>
        <w:rPr>
          <w:rFonts w:ascii="方正仿宋_GBK" w:hAnsi="方正仿宋_GBK" w:eastAsia="方正仿宋_GBK" w:cs="方正仿宋_GBK"/>
          <w:b/>
          <w:sz w:val="24"/>
        </w:rPr>
        <w:t>工程有限公司</w:t>
      </w:r>
    </w:p>
    <w:p>
      <w:pPr>
        <w:spacing w:line="360" w:lineRule="auto"/>
        <w:rPr>
          <w:rFonts w:ascii="方正仿宋_GBK" w:hAnsi="方正仿宋_GBK" w:eastAsia="方正仿宋_GBK" w:cs="方正仿宋_GBK"/>
          <w:b/>
          <w:sz w:val="24"/>
        </w:rPr>
      </w:pPr>
      <w:r>
        <w:rPr>
          <w:rFonts w:hint="eastAsia" w:ascii="方正仿宋_GBK" w:hAnsi="方正仿宋_GBK" w:eastAsia="方正仿宋_GBK" w:cs="方正仿宋_GBK"/>
          <w:b/>
          <w:sz w:val="24"/>
        </w:rPr>
        <w:t>乙方（供方）：</w:t>
      </w:r>
    </w:p>
    <w:p>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rPr>
        <w:t>依照《中华人民共和国民法典》及国家相关法律、法规规定，遵循平等、自愿、公平和诚实信用的原则，甲、乙方就工程的事宜协商达成一致，制定本合同。</w:t>
      </w:r>
    </w:p>
    <w:p>
      <w:pPr>
        <w:spacing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sz w:val="24"/>
        </w:rPr>
        <w:t xml:space="preserve">第一条  </w:t>
      </w:r>
      <w:r>
        <w:rPr>
          <w:rFonts w:hint="eastAsia" w:ascii="方正仿宋_GBK" w:hAnsi="方正仿宋_GBK" w:eastAsia="方正仿宋_GBK" w:cs="方正仿宋_GBK"/>
          <w:bCs/>
          <w:sz w:val="24"/>
        </w:rPr>
        <w:t>供货清单</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696"/>
        <w:gridCol w:w="696"/>
        <w:gridCol w:w="1096"/>
        <w:gridCol w:w="696"/>
        <w:gridCol w:w="1601"/>
        <w:gridCol w:w="1416"/>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物资</w:t>
            </w:r>
          </w:p>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名称</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牌号商标</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规格</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生产</w:t>
            </w:r>
          </w:p>
          <w:p>
            <w:pPr>
              <w:adjustRightInd w:val="0"/>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厂家</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数量</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单位</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单价</w:t>
            </w:r>
            <w:r>
              <w:rPr>
                <w:rFonts w:hint="eastAsia" w:ascii="方正仿宋_GBK" w:hAnsi="方正仿宋_GBK" w:eastAsia="方正仿宋_GBK" w:cs="方正仿宋_GBK"/>
                <w:bCs/>
                <w:sz w:val="24"/>
              </w:rPr>
              <w:t>（元）</w:t>
            </w:r>
          </w:p>
          <w:p>
            <w:pPr>
              <w:adjustRightInd w:val="0"/>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（含13%税）</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总价</w:t>
            </w:r>
            <w:r>
              <w:rPr>
                <w:rFonts w:hint="eastAsia" w:ascii="方正仿宋_GBK" w:hAnsi="方正仿宋_GBK" w:eastAsia="方正仿宋_GBK" w:cs="方正仿宋_GBK"/>
                <w:bCs/>
                <w:sz w:val="24"/>
              </w:rPr>
              <w:t>（元）</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4"/>
              </w:rPr>
            </w:pP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0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6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Cs/>
                <w:sz w:val="24"/>
              </w:rPr>
            </w:pPr>
          </w:p>
        </w:tc>
        <w:tc>
          <w:tcPr>
            <w:tcW w:w="0" w:type="auto"/>
            <w:tcBorders>
              <w:top w:val="single" w:color="auto" w:sz="4" w:space="0"/>
              <w:left w:val="single" w:color="auto" w:sz="4" w:space="0"/>
            </w:tcBorders>
            <w:vAlign w:val="center"/>
          </w:tcPr>
          <w:p>
            <w:pPr>
              <w:jc w:val="center"/>
              <w:rPr>
                <w:rFonts w:ascii="方正仿宋_GBK" w:hAnsi="方正仿宋_GBK" w:eastAsia="方正仿宋_GBK" w:cs="方正仿宋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ascii="方正仿宋_GBK" w:hAnsi="方正仿宋_GBK" w:eastAsia="方正仿宋_GBK" w:cs="方正仿宋_GBK"/>
                <w:bCs/>
                <w:sz w:val="24"/>
              </w:rPr>
              <w:t>合计</w:t>
            </w:r>
            <w:r>
              <w:rPr>
                <w:rFonts w:hint="eastAsia" w:ascii="方正仿宋_GBK" w:hAnsi="方正仿宋_GBK" w:eastAsia="方正仿宋_GBK" w:cs="方正仿宋_GBK"/>
                <w:bCs/>
                <w:sz w:val="24"/>
              </w:rPr>
              <w:t>（人民币大写）</w:t>
            </w:r>
            <w:r>
              <w:rPr>
                <w:rFonts w:ascii="方正仿宋_GBK" w:hAnsi="方正仿宋_GBK" w:eastAsia="方正仿宋_GBK" w:cs="方正仿宋_GBK"/>
                <w:bCs/>
                <w:sz w:val="24"/>
              </w:rPr>
              <w:t>：</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 w:val="24"/>
              </w:rPr>
            </w:pPr>
            <w:r>
              <w:rPr>
                <w:rFonts w:hint="eastAsia" w:ascii="方正仿宋_GBK" w:hAnsi="方正仿宋_GBK" w:eastAsia="方正仿宋_GBK" w:cs="方正仿宋_GBK"/>
                <w:bCs/>
                <w:sz w:val="24"/>
              </w:rPr>
              <w:t>（小写）</w:t>
            </w:r>
            <w:r>
              <w:rPr>
                <w:rFonts w:ascii="宋体" w:hAnsi="宋体" w:eastAsia="方正仿宋_GBK" w:cs="方正仿宋_GBK"/>
                <w:bCs/>
                <w:sz w:val="24"/>
              </w:rPr>
              <w:t>¥</w:t>
            </w:r>
            <w:r>
              <w:rPr>
                <w:rFonts w:hint="eastAsia" w:ascii="方正仿宋_GBK" w:hAnsi="方正仿宋_GBK" w:eastAsia="方正仿宋_GBK" w:cs="方正仿宋_GBK"/>
                <w:bCs/>
                <w:sz w:val="24"/>
              </w:rPr>
              <w:t>：（元）</w:t>
            </w:r>
          </w:p>
        </w:tc>
      </w:tr>
    </w:tbl>
    <w:p>
      <w:pPr>
        <w:spacing w:line="640" w:lineRule="exact"/>
        <w:ind w:firstLine="482" w:firstLineChars="200"/>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 xml:space="preserve">第二条  </w:t>
      </w:r>
      <w:r>
        <w:rPr>
          <w:rFonts w:hint="eastAsia" w:ascii="方正仿宋_GBK" w:hAnsi="方正仿宋_GBK" w:eastAsia="方正仿宋_GBK" w:cs="方正仿宋_GBK"/>
          <w:bCs/>
          <w:sz w:val="24"/>
        </w:rPr>
        <w:t>交货方式</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1、甲方指定的交货地点：卸货由</w:t>
      </w:r>
      <w:r>
        <w:rPr>
          <w:rFonts w:hint="eastAsia" w:ascii="方正仿宋_GBK" w:hAnsi="方正仿宋_GBK" w:eastAsia="方正仿宋_GBK" w:cs="方正仿宋_GBK"/>
          <w:sz w:val="24"/>
          <w:u w:val="single"/>
        </w:rPr>
        <w:t>乙</w:t>
      </w:r>
      <w:r>
        <w:rPr>
          <w:rFonts w:hint="eastAsia" w:ascii="方正仿宋_GBK" w:hAnsi="方正仿宋_GBK" w:eastAsia="方正仿宋_GBK" w:cs="方正仿宋_GBK"/>
          <w:sz w:val="24"/>
        </w:rPr>
        <w:t>方负责。</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3、甲方有权视工程需要及现场存储情况进行调整，乙方予以同意。</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4、乙方负责设备的安装调试。</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第三条  价格条款</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1、货物单价：该单价</w:t>
      </w:r>
      <w:r>
        <w:rPr>
          <w:rFonts w:hint="eastAsia" w:ascii="方正仿宋_GBK" w:hAnsi="方正仿宋_GBK" w:eastAsia="方正仿宋_GBK" w:cs="方正仿宋_GBK"/>
          <w:sz w:val="24"/>
          <w:u w:val="single"/>
        </w:rPr>
        <w:t xml:space="preserve">  含 </w:t>
      </w:r>
      <w:r>
        <w:rPr>
          <w:rFonts w:hint="eastAsia" w:ascii="方正仿宋_GBK" w:hAnsi="方正仿宋_GBK" w:eastAsia="方正仿宋_GBK" w:cs="方正仿宋_GBK"/>
          <w:sz w:val="24"/>
        </w:rPr>
        <w:t>(含/不含)运费，本工程采用固定单价。</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2、结算金额：鉴于甲方有权视工程需要及现场存储情况对数量进行调整，货款结算以实际供货（实际到场且经甲方验收合格）数量为准。</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pPr>
        <w:spacing w:line="640" w:lineRule="exact"/>
        <w:ind w:firstLine="480" w:firstLineChars="200"/>
        <w:rPr>
          <w:rFonts w:ascii="方正仿宋_GBK" w:hAnsi="方正仿宋_GBK" w:eastAsia="方正仿宋_GBK" w:cs="方正仿宋_GBK"/>
          <w:sz w:val="24"/>
        </w:rPr>
      </w:pPr>
      <w:r>
        <w:rPr>
          <w:rFonts w:ascii="方正仿宋_GBK" w:hAnsi="方正仿宋_GBK" w:eastAsia="方正仿宋_GBK" w:cs="方正仿宋_GBK"/>
          <w:sz w:val="24"/>
        </w:rPr>
        <w:t>4</w:t>
      </w:r>
      <w:r>
        <w:rPr>
          <w:rFonts w:hint="eastAsia" w:ascii="方正仿宋_GBK" w:hAnsi="方正仿宋_GBK" w:eastAsia="方正仿宋_GBK" w:cs="方正仿宋_GBK"/>
          <w:sz w:val="24"/>
        </w:rPr>
        <w:t>、货物交付及付款方式：</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sz w:val="24"/>
        </w:rPr>
        <w:t>甲方通过查验送货单厂家、规格、数量、复核数量、有无磅差、质量证明书并经甲方试验检测部门检测合格符合本合同要求后，开具收到实物数量交接单并确认签字，乙方凭此确认单进行结算。</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pPr>
        <w:spacing w:line="640" w:lineRule="exact"/>
        <w:ind w:firstLine="480" w:firstLineChars="200"/>
        <w:rPr>
          <w:rFonts w:ascii="方正仿宋_GBK" w:hAnsi="方正仿宋_GBK" w:eastAsia="方正仿宋_GBK" w:cs="方正仿宋_GBK"/>
          <w:bCs/>
          <w:sz w:val="24"/>
          <w:u w:val="single"/>
        </w:rPr>
      </w:pPr>
      <w:r>
        <w:rPr>
          <w:rFonts w:hint="eastAsia" w:ascii="方正仿宋_GBK" w:hAnsi="方正仿宋_GBK" w:eastAsia="方正仿宋_GBK" w:cs="方正仿宋_GBK"/>
          <w:sz w:val="24"/>
        </w:rPr>
        <w:t>（2）付款方式：</w:t>
      </w:r>
      <w:r>
        <w:rPr>
          <w:rFonts w:hint="eastAsia" w:ascii="方正仿宋_GBK" w:hAnsi="方正仿宋_GBK" w:eastAsia="方正仿宋_GBK" w:cs="方正仿宋_GBK"/>
          <w:sz w:val="24"/>
          <w:u w:val="single"/>
        </w:rPr>
        <w:t>无</w:t>
      </w:r>
      <w:r>
        <w:rPr>
          <w:rFonts w:hint="eastAsia" w:ascii="华文仿宋" w:hAnsi="华文仿宋" w:eastAsia="华文仿宋" w:cs="宋体"/>
          <w:sz w:val="24"/>
          <w:u w:val="single"/>
        </w:rPr>
        <w:t>预</w:t>
      </w:r>
      <w:r>
        <w:rPr>
          <w:rFonts w:hint="eastAsia" w:ascii="方正仿宋_GBK" w:hAnsi="方正仿宋_GBK" w:eastAsia="方正仿宋_GBK" w:cs="方正仿宋_GBK"/>
          <w:sz w:val="24"/>
          <w:u w:val="single"/>
        </w:rPr>
        <w:t>付款，工程竣工验收合格后付至70%(不超过合同价的70%)，审计结束后付至审计工作量的97%，两年质保期满后付清余款（无息）。</w:t>
      </w:r>
    </w:p>
    <w:p>
      <w:pPr>
        <w:spacing w:line="640" w:lineRule="exact"/>
        <w:ind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rPr>
        <w:t>（3）核对完成后乙方开具相应金额的增值税发票，税率</w:t>
      </w:r>
      <w:r>
        <w:rPr>
          <w:rFonts w:hint="eastAsia" w:ascii="方正仿宋_GBK" w:hAnsi="方正仿宋_GBK" w:eastAsia="方正仿宋_GBK" w:cs="方正仿宋_GBK"/>
          <w:spacing w:val="4"/>
          <w:sz w:val="24"/>
        </w:rPr>
        <w:t>为13%，税金由乙方承担，乙方必须确保发票票面信息全部</w:t>
      </w:r>
      <w:r>
        <w:rPr>
          <w:rFonts w:hint="eastAsia" w:ascii="华文仿宋" w:hAnsi="华文仿宋" w:eastAsia="华文仿宋" w:cs="宋体"/>
          <w:spacing w:val="4"/>
          <w:sz w:val="24"/>
        </w:rPr>
        <w:t>真</w:t>
      </w:r>
      <w:r>
        <w:rPr>
          <w:rFonts w:hint="eastAsia" w:ascii="方正仿宋_GBK" w:hAnsi="方正仿宋_GBK" w:eastAsia="方正仿宋_GBK" w:cs="方正仿宋_GBK"/>
          <w:spacing w:val="4"/>
          <w:sz w:val="24"/>
        </w:rPr>
        <w:t>实，相关货款品目、价款等内容与本合同相一致，甲方在收到乙方开具的符合合同约定的发票后给付货款。</w:t>
      </w:r>
    </w:p>
    <w:p>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pPr>
        <w:spacing w:line="640" w:lineRule="exact"/>
        <w:ind w:firstLine="496" w:firstLineChars="200"/>
        <w:rPr>
          <w:rFonts w:hint="default" w:ascii="方正仿宋_GBK" w:hAnsi="方正仿宋_GBK" w:eastAsia="方正仿宋_GBK" w:cs="方正仿宋_GBK"/>
          <w:spacing w:val="4"/>
          <w:sz w:val="24"/>
          <w:lang w:val="en-US" w:eastAsia="zh-CN"/>
        </w:rPr>
      </w:pPr>
      <w:r>
        <w:rPr>
          <w:rFonts w:hint="eastAsia" w:ascii="方正仿宋_GBK" w:hAnsi="方正仿宋_GBK" w:eastAsia="方正仿宋_GBK" w:cs="方正仿宋_GBK"/>
          <w:spacing w:val="4"/>
          <w:sz w:val="24"/>
        </w:rPr>
        <w:t>姓名：</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w:t>
      </w:r>
    </w:p>
    <w:p>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sz w:val="24"/>
        </w:rPr>
        <w:t>质量、技术标准</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sz w:val="24"/>
        </w:rPr>
        <w:t>甲方权利义务</w:t>
      </w:r>
    </w:p>
    <w:p>
      <w:pPr>
        <w:pStyle w:val="26"/>
        <w:spacing w:line="640" w:lineRule="exact"/>
        <w:ind w:left="420" w:leftChars="200" w:firstLine="0" w:firstLineChars="0"/>
        <w:rPr>
          <w:rFonts w:ascii="方正仿宋_GBK" w:hAnsi="方正仿宋_GBK" w:eastAsia="方正仿宋_GBK" w:cs="方正仿宋_GBK"/>
          <w:bCs/>
          <w:sz w:val="24"/>
        </w:rPr>
      </w:pPr>
      <w:r>
        <w:rPr>
          <w:rFonts w:hint="eastAsia" w:ascii="方正仿宋_GBK" w:hAnsi="方正仿宋_GBK" w:eastAsia="方正仿宋_GBK" w:cs="方正仿宋_GBK"/>
          <w:bCs/>
          <w:sz w:val="24"/>
        </w:rPr>
        <w:t>1、</w:t>
      </w:r>
      <w:r>
        <w:rPr>
          <w:rFonts w:ascii="方正仿宋_GBK" w:hAnsi="方正仿宋_GBK" w:eastAsia="方正仿宋_GBK" w:cs="方正仿宋_GBK"/>
          <w:bCs/>
          <w:sz w:val="24"/>
        </w:rPr>
        <w:t>甲方负责现场</w:t>
      </w:r>
      <w:r>
        <w:rPr>
          <w:rFonts w:hint="eastAsia" w:ascii="方正仿宋_GBK" w:hAnsi="方正仿宋_GBK" w:eastAsia="方正仿宋_GBK" w:cs="方正仿宋_GBK"/>
          <w:bCs/>
          <w:sz w:val="24"/>
        </w:rPr>
        <w:t>初</w:t>
      </w:r>
      <w:r>
        <w:rPr>
          <w:rFonts w:ascii="方正仿宋_GBK" w:hAnsi="方正仿宋_GBK" w:eastAsia="方正仿宋_GBK" w:cs="方正仿宋_GBK"/>
          <w:bCs/>
          <w:sz w:val="24"/>
        </w:rPr>
        <w:t>验收，经甲方检验后，证实乙方所供</w:t>
      </w: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不符合约定时，有权要求向乙方退货，造成的一切损失由乙方自行负责，在甲方</w:t>
      </w:r>
      <w:r>
        <w:rPr>
          <w:rFonts w:hint="eastAsia" w:ascii="方正仿宋_GBK" w:hAnsi="方正仿宋_GBK" w:eastAsia="方正仿宋_GBK" w:cs="方正仿宋_GBK"/>
          <w:bCs/>
          <w:sz w:val="24"/>
        </w:rPr>
        <w:t>初</w:t>
      </w:r>
      <w:r>
        <w:rPr>
          <w:rFonts w:ascii="方正仿宋_GBK" w:hAnsi="方正仿宋_GBK" w:eastAsia="方正仿宋_GBK" w:cs="方正仿宋_GBK"/>
          <w:bCs/>
          <w:sz w:val="24"/>
        </w:rPr>
        <w:t>验收合格并接收</w:t>
      </w: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之前货物发生的</w:t>
      </w:r>
      <w:r>
        <w:rPr>
          <w:rFonts w:ascii="方正仿宋_GBK" w:hAnsi="方正仿宋_GBK" w:eastAsia="方正仿宋_GBK" w:cs="方正仿宋_GBK"/>
          <w:sz w:val="24"/>
        </w:rPr>
        <w:t>毁损、灭失的风险由乙方承担</w:t>
      </w:r>
      <w:r>
        <w:rPr>
          <w:rFonts w:ascii="方正仿宋_GBK" w:hAnsi="方正仿宋_GBK" w:eastAsia="方正仿宋_GBK" w:cs="方正仿宋_GBK"/>
          <w:bCs/>
          <w:sz w:val="24"/>
        </w:rPr>
        <w:t>，发生数量短少，由乙方补足。</w:t>
      </w:r>
    </w:p>
    <w:p>
      <w:pPr>
        <w:pStyle w:val="26"/>
        <w:spacing w:line="640" w:lineRule="exact"/>
        <w:ind w:left="420" w:leftChars="200" w:firstLine="0" w:firstLineChars="0"/>
        <w:rPr>
          <w:rFonts w:ascii="方正仿宋_GBK" w:hAnsi="方正仿宋_GBK" w:eastAsia="方正仿宋_GBK" w:cs="方正仿宋_GBK"/>
          <w:bCs/>
          <w:sz w:val="24"/>
        </w:rPr>
      </w:pPr>
      <w:r>
        <w:rPr>
          <w:rFonts w:hint="eastAsia" w:ascii="方正仿宋_GBK" w:hAnsi="方正仿宋_GBK" w:eastAsia="方正仿宋_GBK" w:cs="方正仿宋_GBK"/>
          <w:bCs/>
          <w:sz w:val="24"/>
        </w:rPr>
        <w:t>2、</w:t>
      </w:r>
      <w:r>
        <w:rPr>
          <w:rFonts w:ascii="方正仿宋_GBK" w:hAnsi="方正仿宋_GBK" w:eastAsia="方正仿宋_GBK" w:cs="方正仿宋_GBK"/>
          <w:bCs/>
          <w:sz w:val="24"/>
        </w:rPr>
        <w:t>如在合同期间市场价格下浮，甲方有权与乙方签订补充协议，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sz w:val="24"/>
        </w:rPr>
        <w:t>乙方权利义务</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1</w:t>
      </w:r>
      <w:r>
        <w:rPr>
          <w:rFonts w:hint="eastAsia" w:ascii="方正仿宋_GBK" w:hAnsi="方正仿宋_GBK" w:eastAsia="方正仿宋_GBK" w:cs="方正仿宋_GBK"/>
          <w:bCs/>
          <w:sz w:val="24"/>
        </w:rPr>
        <w:t>、</w:t>
      </w:r>
      <w:r>
        <w:rPr>
          <w:rFonts w:ascii="方正仿宋_GBK" w:hAnsi="方正仿宋_GBK" w:eastAsia="方正仿宋_GBK" w:cs="方正仿宋_GBK"/>
          <w:bCs/>
          <w:sz w:val="24"/>
        </w:rPr>
        <w:t>乙方需提供</w:t>
      </w:r>
      <w:r>
        <w:rPr>
          <w:rFonts w:hint="eastAsia" w:ascii="方正仿宋_GBK" w:hAnsi="方正仿宋_GBK" w:eastAsia="方正仿宋_GBK" w:cs="方正仿宋_GBK"/>
          <w:bCs/>
          <w:sz w:val="24"/>
        </w:rPr>
        <w:t>以下材料</w:t>
      </w:r>
      <w:r>
        <w:rPr>
          <w:rFonts w:ascii="方正仿宋_GBK" w:hAnsi="方正仿宋_GBK" w:eastAsia="方正仿宋_GBK" w:cs="方正仿宋_GBK"/>
          <w:bCs/>
          <w:sz w:val="24"/>
        </w:rPr>
        <w:t>供甲方备案。</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营业执照、法人身份证、产品合格证（随货提供）；</w:t>
      </w:r>
    </w:p>
    <w:p>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采购钢材、水泥还须附有以下有效材料的证件：产品生产（制造）或经销许可证、产品检验合格证（随货提供）；</w:t>
      </w:r>
    </w:p>
    <w:p>
      <w:pPr>
        <w:adjustRightInd w:val="0"/>
        <w:snapToGrid w:val="0"/>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采购化学用品或其他危险用品还须附有以下有效材料的证件：安全生产许可证、危险化学品经营许可证及其他符合国家相关要求的证件。</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w:t>
      </w:r>
      <w:r>
        <w:rPr>
          <w:rFonts w:ascii="方正仿宋_GBK" w:hAnsi="方正仿宋_GBK" w:eastAsia="方正仿宋_GBK" w:cs="方正仿宋_GBK"/>
          <w:bCs/>
          <w:sz w:val="24"/>
        </w:rPr>
        <w:t>乙方须向甲方提供完备的</w:t>
      </w: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质量证明。</w:t>
      </w:r>
      <w:r>
        <w:rPr>
          <w:rFonts w:ascii="方正仿宋_GBK" w:hAnsi="方正仿宋_GBK" w:eastAsia="方正仿宋_GBK" w:cs="方正仿宋_GBK"/>
          <w:sz w:val="24"/>
        </w:rPr>
        <w:t>因</w:t>
      </w:r>
      <w:r>
        <w:rPr>
          <w:rFonts w:hint="eastAsia" w:ascii="方正仿宋_GBK" w:hAnsi="方正仿宋_GBK" w:eastAsia="方正仿宋_GBK" w:cs="方正仿宋_GBK"/>
          <w:sz w:val="24"/>
        </w:rPr>
        <w:t>货物</w:t>
      </w:r>
      <w:r>
        <w:rPr>
          <w:rFonts w:ascii="方正仿宋_GBK" w:hAnsi="方正仿宋_GBK" w:eastAsia="方正仿宋_GBK" w:cs="方正仿宋_GBK"/>
          <w:sz w:val="24"/>
        </w:rPr>
        <w:t>质量不符合要求，致使不能实现合同目的的，甲方可以拒绝接受该</w:t>
      </w:r>
      <w:r>
        <w:rPr>
          <w:rFonts w:hint="eastAsia" w:ascii="方正仿宋_GBK" w:hAnsi="方正仿宋_GBK" w:eastAsia="方正仿宋_GBK" w:cs="方正仿宋_GBK"/>
          <w:sz w:val="24"/>
        </w:rPr>
        <w:t>货物</w:t>
      </w:r>
      <w:r>
        <w:rPr>
          <w:rFonts w:ascii="方正仿宋_GBK" w:hAnsi="方正仿宋_GBK" w:eastAsia="方正仿宋_GBK" w:cs="方正仿宋_GBK"/>
          <w:sz w:val="24"/>
        </w:rPr>
        <w:t>或者解除合同，</w:t>
      </w:r>
      <w:r>
        <w:rPr>
          <w:rFonts w:hint="eastAsia" w:ascii="方正仿宋_GBK" w:hAnsi="方正仿宋_GBK" w:eastAsia="方正仿宋_GBK" w:cs="方正仿宋_GBK"/>
          <w:sz w:val="24"/>
        </w:rPr>
        <w:t>货物</w:t>
      </w:r>
      <w:r>
        <w:rPr>
          <w:rFonts w:ascii="方正仿宋_GBK" w:hAnsi="方正仿宋_GBK" w:eastAsia="方正仿宋_GBK" w:cs="方正仿宋_GBK"/>
          <w:sz w:val="24"/>
        </w:rPr>
        <w:t>毁损、灭失的风险由乙方承担。</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sz w:val="24"/>
        </w:rPr>
        <w:t>产品的包装标准要符合国家有关部门的标准。必要时甲方声明对包装的要求。产品的包装物，由乙方负责供应，甲方负责回收和处置。包装物费用如合同中没有特殊说明，不得向甲方另外收取。</w:t>
      </w:r>
    </w:p>
    <w:p>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第七条  </w:t>
      </w:r>
      <w:r>
        <w:rPr>
          <w:rFonts w:hint="eastAsia" w:ascii="方正仿宋_GBK" w:hAnsi="方正仿宋_GBK" w:eastAsia="方正仿宋_GBK" w:cs="方正仿宋_GBK"/>
          <w:bCs/>
          <w:sz w:val="24"/>
        </w:rPr>
        <w:t>违约责任</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1</w:t>
      </w:r>
      <w:r>
        <w:rPr>
          <w:rFonts w:hint="eastAsia" w:ascii="方正仿宋_GBK" w:hAnsi="方正仿宋_GBK" w:eastAsia="方正仿宋_GBK" w:cs="方正仿宋_GBK"/>
          <w:bCs/>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乙方向甲方支付的履约保证金不予退还，涉嫌构成犯罪的，交由司法机关处理。若乙方拒不给付导致甲方通过法律途径追索的，甲方所花费的律师费、诉讼费、保全费、保全担保费、交通费等均由乙方承担：</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1</w:t>
      </w:r>
      <w:r>
        <w:rPr>
          <w:rFonts w:hint="eastAsia" w:ascii="方正仿宋_GBK" w:hAnsi="方正仿宋_GBK" w:eastAsia="方正仿宋_GBK" w:cs="方正仿宋_GBK"/>
          <w:bCs/>
          <w:sz w:val="24"/>
        </w:rPr>
        <w:t>.1、乙方对供应产品质量负责，在未经甲方同意的前提下擅自变更生产厂家或标准时；</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1</w:t>
      </w:r>
      <w:r>
        <w:rPr>
          <w:rFonts w:hint="eastAsia" w:ascii="方正仿宋_GBK" w:hAnsi="方正仿宋_GBK" w:eastAsia="方正仿宋_GBK" w:cs="方正仿宋_GBK"/>
          <w:bCs/>
          <w:sz w:val="24"/>
        </w:rPr>
        <w:t>.2、当产品不合格时甲方有权拒绝收货，当因货物质量原因造成工程停工或返工时；</w:t>
      </w:r>
    </w:p>
    <w:p>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1.3</w:t>
      </w:r>
      <w:r>
        <w:rPr>
          <w:rFonts w:hint="eastAsia" w:ascii="方正仿宋_GBK" w:hAnsi="方正仿宋_GBK" w:eastAsia="方正仿宋_GBK" w:cs="方正仿宋_GBK"/>
          <w:bCs/>
          <w:sz w:val="24"/>
        </w:rPr>
        <w:t>、当乙方连续或累计超过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天的供货数量不能满足甲方指定数量时；</w:t>
      </w:r>
    </w:p>
    <w:p>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1.4、乙方因亏损、利润低、货物储存不足等理由，拒绝继续履行合同。</w:t>
      </w:r>
    </w:p>
    <w:p>
      <w:pPr>
        <w:adjustRightInd w:val="0"/>
        <w:snapToGrid w:val="0"/>
        <w:spacing w:line="640" w:lineRule="exact"/>
        <w:ind w:firstLine="480" w:firstLineChars="200"/>
        <w:rPr>
          <w:rFonts w:ascii="方正仿宋_GBK" w:hAnsi="方正仿宋_GBK" w:eastAsia="方正仿宋_GBK" w:cs="方正仿宋_GBK"/>
          <w:b/>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、乙方应自行解决在本合同执行期间与相关部门、单位、组织或个人发生的涉及本合同标的一切债权、债务之处理，如因前述原因给甲方造成的任何损失，甲方有权要求乙方承担双倍的赔偿。</w:t>
      </w:r>
    </w:p>
    <w:p>
      <w:pPr>
        <w:adjustRightInd w:val="0"/>
        <w:snapToGrid w:val="0"/>
        <w:spacing w:line="640" w:lineRule="exact"/>
        <w:ind w:firstLine="472" w:firstLineChars="196"/>
        <w:rPr>
          <w:rFonts w:ascii="方正仿宋_GBK" w:hAnsi="方正仿宋_GBK" w:eastAsia="方正仿宋_GBK" w:cs="方正仿宋_GBK"/>
          <w:b/>
          <w:bCs/>
          <w:sz w:val="24"/>
        </w:rPr>
      </w:pPr>
      <w:r>
        <w:rPr>
          <w:rFonts w:hint="eastAsia" w:ascii="方正仿宋_GBK" w:hAnsi="方正仿宋_GBK" w:eastAsia="方正仿宋_GBK" w:cs="方正仿宋_GBK"/>
          <w:b/>
          <w:sz w:val="24"/>
        </w:rPr>
        <w:t xml:space="preserve">第八条 </w:t>
      </w:r>
      <w:r>
        <w:rPr>
          <w:rFonts w:hint="eastAsia" w:ascii="方正仿宋_GBK" w:hAnsi="方正仿宋_GBK" w:eastAsia="方正仿宋_GBK" w:cs="方正仿宋_GBK"/>
          <w:bCs/>
          <w:sz w:val="24"/>
        </w:rPr>
        <w:t>其他</w:t>
      </w:r>
      <w:r>
        <w:rPr>
          <w:rFonts w:ascii="方正仿宋_GBK" w:hAnsi="方正仿宋_GBK" w:eastAsia="方正仿宋_GBK" w:cs="方正仿宋_GBK"/>
          <w:bCs/>
          <w:sz w:val="24"/>
        </w:rPr>
        <w:t>条款</w:t>
      </w:r>
    </w:p>
    <w:p>
      <w:pPr>
        <w:adjustRightInd w:val="0"/>
        <w:snapToGrid w:val="0"/>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1、乙方在生产加工及运输、装卸的过程中应遵守国家安全生产、道路交通安全及环境保护的有关规定，对因此造成的损失或第三者损失，乙方应自行承担，甲方不承担任何责任。</w:t>
      </w:r>
    </w:p>
    <w:p>
      <w:pPr>
        <w:spacing w:line="640" w:lineRule="exact"/>
        <w:ind w:firstLine="472" w:firstLineChars="196"/>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第九条 </w:t>
      </w:r>
      <w:r>
        <w:rPr>
          <w:rFonts w:hint="eastAsia" w:ascii="方正仿宋_GBK" w:hAnsi="方正仿宋_GBK" w:eastAsia="方正仿宋_GBK" w:cs="方正仿宋_GBK"/>
          <w:bCs/>
          <w:sz w:val="24"/>
        </w:rPr>
        <w:t>争议的处理（仲裁、诉讼）</w:t>
      </w:r>
    </w:p>
    <w:p>
      <w:pPr>
        <w:adjustRightInd w:val="0"/>
        <w:snapToGrid w:val="0"/>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w:t>
      </w:r>
      <w:r>
        <w:rPr>
          <w:rFonts w:ascii="方正仿宋_GBK" w:hAnsi="方正仿宋_GBK" w:eastAsia="方正仿宋_GBK" w:cs="方正仿宋_GBK"/>
          <w:bCs/>
          <w:sz w:val="24"/>
        </w:rPr>
        <w:t>甲乙双方严格履行本合同的各项条款，任何一方违反本合同约定，依法处理。</w:t>
      </w:r>
    </w:p>
    <w:p>
      <w:pPr>
        <w:adjustRightInd w:val="0"/>
        <w:snapToGrid w:val="0"/>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2</w:t>
      </w:r>
      <w:r>
        <w:rPr>
          <w:rFonts w:ascii="方正仿宋_GBK" w:hAnsi="方正仿宋_GBK" w:eastAsia="方正仿宋_GBK" w:cs="方正仿宋_GBK"/>
          <w:bCs/>
          <w:sz w:val="24"/>
        </w:rPr>
        <w:t>、本合同</w:t>
      </w:r>
      <w:r>
        <w:rPr>
          <w:rFonts w:hint="eastAsia" w:ascii="方正仿宋_GBK" w:hAnsi="方正仿宋_GBK" w:eastAsia="方正仿宋_GBK" w:cs="方正仿宋_GBK"/>
          <w:bCs/>
          <w:sz w:val="24"/>
        </w:rPr>
        <w:t>发生纠纷</w:t>
      </w:r>
      <w:r>
        <w:rPr>
          <w:rFonts w:ascii="方正仿宋_GBK" w:hAnsi="方正仿宋_GBK" w:eastAsia="方正仿宋_GBK" w:cs="方正仿宋_GBK"/>
          <w:bCs/>
          <w:sz w:val="24"/>
        </w:rPr>
        <w:t>由甲乙双方共同协商解决，协商不成可起诉至</w:t>
      </w:r>
      <w:r>
        <w:rPr>
          <w:rFonts w:hint="eastAsia" w:ascii="方正仿宋_GBK" w:hAnsi="方正仿宋_GBK" w:eastAsia="方正仿宋_GBK" w:cs="方正仿宋_GBK"/>
          <w:bCs/>
          <w:sz w:val="24"/>
        </w:rPr>
        <w:t>甲方</w:t>
      </w:r>
      <w:r>
        <w:rPr>
          <w:rFonts w:ascii="方正仿宋_GBK" w:hAnsi="方正仿宋_GBK" w:eastAsia="方正仿宋_GBK" w:cs="方正仿宋_GBK"/>
          <w:bCs/>
          <w:sz w:val="24"/>
        </w:rPr>
        <w:t>所在地法院。</w:t>
      </w:r>
    </w:p>
    <w:p>
      <w:pPr>
        <w:spacing w:line="640" w:lineRule="exact"/>
        <w:ind w:firstLine="472" w:firstLineChars="196"/>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第十二条 </w:t>
      </w:r>
      <w:r>
        <w:rPr>
          <w:rFonts w:hint="eastAsia" w:ascii="方正仿宋_GBK" w:hAnsi="方正仿宋_GBK" w:eastAsia="方正仿宋_GBK" w:cs="方正仿宋_GBK"/>
          <w:bCs/>
          <w:sz w:val="24"/>
        </w:rPr>
        <w:t>合同的生效及其他约定</w:t>
      </w:r>
    </w:p>
    <w:p>
      <w:pPr>
        <w:adjustRightInd w:val="0"/>
        <w:snapToGrid w:val="0"/>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w:t>
      </w:r>
      <w:r>
        <w:rPr>
          <w:rFonts w:ascii="方正仿宋_GBK" w:hAnsi="方正仿宋_GBK" w:eastAsia="方正仿宋_GBK" w:cs="方正仿宋_GBK"/>
          <w:bCs/>
          <w:sz w:val="24"/>
        </w:rPr>
        <w:t>本合同经甲乙方</w:t>
      </w:r>
      <w:r>
        <w:rPr>
          <w:rFonts w:hint="eastAsia" w:ascii="方正仿宋_GBK" w:hAnsi="方正仿宋_GBK" w:eastAsia="方正仿宋_GBK" w:cs="方正仿宋_GBK"/>
          <w:bCs/>
          <w:sz w:val="24"/>
        </w:rPr>
        <w:t>签</w:t>
      </w:r>
      <w:r>
        <w:rPr>
          <w:rFonts w:ascii="方正仿宋_GBK" w:hAnsi="方正仿宋_GBK" w:eastAsia="方正仿宋_GBK" w:cs="方正仿宋_GBK"/>
          <w:bCs/>
          <w:sz w:val="24"/>
        </w:rPr>
        <w:t>章之日起生效</w:t>
      </w:r>
      <w:r>
        <w:rPr>
          <w:rFonts w:hint="eastAsia" w:ascii="方正仿宋_GBK" w:hAnsi="方正仿宋_GBK" w:eastAsia="方正仿宋_GBK" w:cs="方正仿宋_GBK"/>
          <w:bCs/>
          <w:sz w:val="24"/>
        </w:rPr>
        <w:t>，自双方履行完毕各自义务时终止。</w:t>
      </w:r>
    </w:p>
    <w:p>
      <w:pPr>
        <w:adjustRightInd w:val="0"/>
        <w:snapToGrid w:val="0"/>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2、本合同未尽事宜，双方进行协商。协商结果以“补充协议”的形式作为本合同的附件，与本合同具有同等法律效力。</w:t>
      </w:r>
    </w:p>
    <w:p>
      <w:pPr>
        <w:adjustRightInd w:val="0"/>
        <w:snapToGrid w:val="0"/>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3、</w:t>
      </w:r>
      <w:r>
        <w:rPr>
          <w:rFonts w:ascii="方正仿宋_GBK" w:hAnsi="方正仿宋_GBK" w:eastAsia="方正仿宋_GBK" w:cs="方正仿宋_GBK"/>
          <w:bCs/>
          <w:sz w:val="24"/>
        </w:rPr>
        <w:t>本合同一式</w:t>
      </w:r>
      <w:r>
        <w:rPr>
          <w:rFonts w:hint="eastAsia" w:ascii="方正仿宋_GBK" w:hAnsi="方正仿宋_GBK" w:eastAsia="方正仿宋_GBK" w:cs="方正仿宋_GBK"/>
          <w:bCs/>
          <w:sz w:val="24"/>
        </w:rPr>
        <w:t>四</w:t>
      </w:r>
      <w:r>
        <w:rPr>
          <w:rFonts w:ascii="方正仿宋_GBK" w:hAnsi="方正仿宋_GBK" w:eastAsia="方正仿宋_GBK" w:cs="方正仿宋_GBK"/>
          <w:bCs/>
          <w:sz w:val="24"/>
        </w:rPr>
        <w:t>份，甲乙双方各执</w:t>
      </w:r>
      <w:r>
        <w:rPr>
          <w:rFonts w:hint="eastAsia" w:ascii="方正仿宋_GBK" w:hAnsi="方正仿宋_GBK" w:eastAsia="方正仿宋_GBK" w:cs="方正仿宋_GBK"/>
          <w:bCs/>
          <w:sz w:val="24"/>
        </w:rPr>
        <w:t>二</w:t>
      </w:r>
      <w:r>
        <w:rPr>
          <w:rFonts w:ascii="方正仿宋_GBK" w:hAnsi="方正仿宋_GBK" w:eastAsia="方正仿宋_GBK" w:cs="方正仿宋_GBK"/>
          <w:bCs/>
          <w:sz w:val="24"/>
        </w:rPr>
        <w:t>份</w:t>
      </w:r>
    </w:p>
    <w:tbl>
      <w:tblPr>
        <w:tblStyle w:val="15"/>
        <w:tblW w:w="8259" w:type="dxa"/>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535" w:hRule="atLeast"/>
        </w:trPr>
        <w:tc>
          <w:tcPr>
            <w:tcW w:w="4054" w:type="dxa"/>
            <w:tcBorders>
              <w:top w:val="single" w:color="auto" w:sz="12" w:space="0"/>
              <w:left w:val="single" w:color="auto" w:sz="12" w:space="0"/>
              <w:bottom w:val="single" w:color="auto" w:sz="12" w:space="0"/>
              <w:right w:val="single" w:color="auto" w:sz="6"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 扬州市上善建设工程有限公司</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址：扬州市立新路14号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行：工行东关</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号：1108020509000000617</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电话：0514-82980082</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tcPr>
          <w:p>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pPr>
        <w:spacing w:line="360" w:lineRule="auto"/>
        <w:ind w:firstLine="315" w:firstLineChars="150"/>
        <w:rPr>
          <w:rFonts w:ascii="方正仿宋_GBK" w:hAnsi="方正仿宋_GBK" w:eastAsia="方正仿宋_GBK" w:cs="方正仿宋_GBK"/>
          <w:szCs w:val="28"/>
        </w:rPr>
      </w:pPr>
    </w:p>
    <w:p>
      <w:pPr>
        <w:spacing w:line="360" w:lineRule="auto"/>
        <w:jc w:val="center"/>
      </w:pPr>
      <w:r>
        <w:rPr>
          <w:rFonts w:hint="eastAsia" w:ascii="方正仿宋_GBK" w:hAnsi="方正仿宋_GBK" w:eastAsia="方正仿宋_GBK" w:cs="方正仿宋_GBK"/>
          <w:sz w:val="24"/>
        </w:rPr>
        <w:t>签订日期：</w:t>
      </w:r>
    </w:p>
    <w:p>
      <w:pPr>
        <w:pStyle w:val="2"/>
        <w:ind w:left="1260"/>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C45BBFE-714E-4DDB-9F05-C43A01D5C2D2}"/>
  </w:font>
  <w:font w:name="黑体">
    <w:panose1 w:val="02010609060101010101"/>
    <w:charset w:val="86"/>
    <w:family w:val="auto"/>
    <w:pitch w:val="default"/>
    <w:sig w:usb0="800002BF" w:usb1="38CF7CFA" w:usb2="00000016" w:usb3="00000000" w:csb0="00040001" w:csb1="00000000"/>
    <w:embedRegular r:id="rId2" w:fontKey="{86A22DFE-9997-4252-A0B5-AAA8E3B020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F4F51590-BC37-47FD-8EB8-3E0F82C8B3C5}"/>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embedRegular r:id="rId4" w:fontKey="{24147606-625F-479C-9AFD-BEA131DF131E}"/>
  </w:font>
  <w:font w:name="方正小标宋_GBK">
    <w:panose1 w:val="02000000000000000000"/>
    <w:charset w:val="86"/>
    <w:family w:val="script"/>
    <w:pitch w:val="default"/>
    <w:sig w:usb0="A00002BF" w:usb1="38CF7CFA" w:usb2="00082016" w:usb3="00000000" w:csb0="00040001" w:csb1="00000000"/>
    <w:embedRegular r:id="rId5" w:fontKey="{FA4C54D2-02F9-40C7-9D90-BD7A8D3AFDB1}"/>
  </w:font>
  <w:font w:name="方正仿宋_GBK">
    <w:panose1 w:val="02000000000000000000"/>
    <w:charset w:val="86"/>
    <w:family w:val="script"/>
    <w:pitch w:val="default"/>
    <w:sig w:usb0="A00002BF" w:usb1="38CF7CFA" w:usb2="00082016" w:usb3="00000000" w:csb0="00040001" w:csb1="00000000"/>
    <w:embedRegular r:id="rId6" w:fontKey="{238F277B-566A-44DA-A275-EFDBD204328B}"/>
  </w:font>
  <w:font w:name="华文仿宋">
    <w:panose1 w:val="02010600040101010101"/>
    <w:charset w:val="86"/>
    <w:family w:val="auto"/>
    <w:pitch w:val="default"/>
    <w:sig w:usb0="00000287" w:usb1="080F0000" w:usb2="00000000" w:usb3="00000000" w:csb0="0004009F" w:csb1="DFD70000"/>
    <w:embedRegular r:id="rId7" w:fontKey="{3E143176-55D9-41E1-883E-A6D7D65AC2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1"/>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V+SdAAAAADAQAADwAAAAAAAAABACAAAAAiAAAA&#10;ZHJzL2Rvd25yZXYueG1sUEsBAhQAFAAAAAgAh07iQFvNW5PWAQAAqAMAAA4AAAAAAAAAAQAgAAAA&#10;HwEAAGRycy9lMm9Eb2MueG1sUEsFBgAAAAAGAAYAWQEAAGc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9FDC7"/>
    <w:multiLevelType w:val="singleLevel"/>
    <w:tmpl w:val="8729FDC7"/>
    <w:lvl w:ilvl="0" w:tentative="0">
      <w:start w:val="1"/>
      <w:numFmt w:val="decimal"/>
      <w:suff w:val="nothing"/>
      <w:lvlText w:val="%1、"/>
      <w:lvlJc w:val="left"/>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512"/>
    <w:rsid w:val="00012FD2"/>
    <w:rsid w:val="00017610"/>
    <w:rsid w:val="00025FC0"/>
    <w:rsid w:val="00031D5F"/>
    <w:rsid w:val="00040B75"/>
    <w:rsid w:val="00042AEB"/>
    <w:rsid w:val="0006415F"/>
    <w:rsid w:val="00067DB1"/>
    <w:rsid w:val="000706A2"/>
    <w:rsid w:val="00085EA4"/>
    <w:rsid w:val="0009202D"/>
    <w:rsid w:val="000956DB"/>
    <w:rsid w:val="000A2965"/>
    <w:rsid w:val="000A791F"/>
    <w:rsid w:val="000B58C3"/>
    <w:rsid w:val="000B6384"/>
    <w:rsid w:val="000C36F1"/>
    <w:rsid w:val="000C37B0"/>
    <w:rsid w:val="000C56AB"/>
    <w:rsid w:val="000C7005"/>
    <w:rsid w:val="000C7535"/>
    <w:rsid w:val="000D03D3"/>
    <w:rsid w:val="000D6956"/>
    <w:rsid w:val="000D7629"/>
    <w:rsid w:val="000E4865"/>
    <w:rsid w:val="000E5B22"/>
    <w:rsid w:val="000E7D82"/>
    <w:rsid w:val="000F1388"/>
    <w:rsid w:val="000F1610"/>
    <w:rsid w:val="000F25D5"/>
    <w:rsid w:val="000F7695"/>
    <w:rsid w:val="000F7925"/>
    <w:rsid w:val="00113AF8"/>
    <w:rsid w:val="00117559"/>
    <w:rsid w:val="00117A82"/>
    <w:rsid w:val="0012174A"/>
    <w:rsid w:val="001235CA"/>
    <w:rsid w:val="0012618D"/>
    <w:rsid w:val="00131447"/>
    <w:rsid w:val="00133938"/>
    <w:rsid w:val="00136521"/>
    <w:rsid w:val="00136905"/>
    <w:rsid w:val="00137146"/>
    <w:rsid w:val="001417F7"/>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2F83"/>
    <w:rsid w:val="0024312E"/>
    <w:rsid w:val="002440CE"/>
    <w:rsid w:val="00244393"/>
    <w:rsid w:val="0024736C"/>
    <w:rsid w:val="00251F24"/>
    <w:rsid w:val="00252052"/>
    <w:rsid w:val="00252DC4"/>
    <w:rsid w:val="00255D51"/>
    <w:rsid w:val="00257460"/>
    <w:rsid w:val="0026173B"/>
    <w:rsid w:val="002637BF"/>
    <w:rsid w:val="00265882"/>
    <w:rsid w:val="002669A7"/>
    <w:rsid w:val="00276218"/>
    <w:rsid w:val="00280E0D"/>
    <w:rsid w:val="00281343"/>
    <w:rsid w:val="00286C22"/>
    <w:rsid w:val="002922DC"/>
    <w:rsid w:val="00297BC1"/>
    <w:rsid w:val="002A26D1"/>
    <w:rsid w:val="002A5AE9"/>
    <w:rsid w:val="002B24F3"/>
    <w:rsid w:val="002B2A37"/>
    <w:rsid w:val="002B3078"/>
    <w:rsid w:val="002B3201"/>
    <w:rsid w:val="002B4FD3"/>
    <w:rsid w:val="002B6ECB"/>
    <w:rsid w:val="002C01D0"/>
    <w:rsid w:val="002C0BB6"/>
    <w:rsid w:val="002C5225"/>
    <w:rsid w:val="002E7666"/>
    <w:rsid w:val="002F1BD2"/>
    <w:rsid w:val="002F242B"/>
    <w:rsid w:val="002F6241"/>
    <w:rsid w:val="0030314A"/>
    <w:rsid w:val="00305FCC"/>
    <w:rsid w:val="0030614D"/>
    <w:rsid w:val="00313EEE"/>
    <w:rsid w:val="00326515"/>
    <w:rsid w:val="00326BC8"/>
    <w:rsid w:val="003272D0"/>
    <w:rsid w:val="003320DB"/>
    <w:rsid w:val="003329AB"/>
    <w:rsid w:val="003407B3"/>
    <w:rsid w:val="00364634"/>
    <w:rsid w:val="003647C7"/>
    <w:rsid w:val="00365353"/>
    <w:rsid w:val="00371EF7"/>
    <w:rsid w:val="0037604A"/>
    <w:rsid w:val="0038069A"/>
    <w:rsid w:val="00392C13"/>
    <w:rsid w:val="003A25E7"/>
    <w:rsid w:val="003A29AC"/>
    <w:rsid w:val="003A5650"/>
    <w:rsid w:val="003A5A98"/>
    <w:rsid w:val="003B00BD"/>
    <w:rsid w:val="003B19A4"/>
    <w:rsid w:val="003B25CE"/>
    <w:rsid w:val="003C2429"/>
    <w:rsid w:val="003E02DB"/>
    <w:rsid w:val="003E084D"/>
    <w:rsid w:val="003E5114"/>
    <w:rsid w:val="003E7A3F"/>
    <w:rsid w:val="003E7D95"/>
    <w:rsid w:val="003F140C"/>
    <w:rsid w:val="003F3E11"/>
    <w:rsid w:val="003F444D"/>
    <w:rsid w:val="003F5AC4"/>
    <w:rsid w:val="004022A9"/>
    <w:rsid w:val="00403233"/>
    <w:rsid w:val="004131C6"/>
    <w:rsid w:val="004177C1"/>
    <w:rsid w:val="00421F8A"/>
    <w:rsid w:val="00426905"/>
    <w:rsid w:val="004332DE"/>
    <w:rsid w:val="00436126"/>
    <w:rsid w:val="0043668D"/>
    <w:rsid w:val="004426CF"/>
    <w:rsid w:val="004434D1"/>
    <w:rsid w:val="00443F30"/>
    <w:rsid w:val="0045063D"/>
    <w:rsid w:val="00451C87"/>
    <w:rsid w:val="00461CEA"/>
    <w:rsid w:val="0046425D"/>
    <w:rsid w:val="00466454"/>
    <w:rsid w:val="00470F90"/>
    <w:rsid w:val="00474966"/>
    <w:rsid w:val="00475714"/>
    <w:rsid w:val="004817FA"/>
    <w:rsid w:val="0048240D"/>
    <w:rsid w:val="004829E3"/>
    <w:rsid w:val="004849A0"/>
    <w:rsid w:val="00490CC7"/>
    <w:rsid w:val="004A75B7"/>
    <w:rsid w:val="004B1C3F"/>
    <w:rsid w:val="004B74B6"/>
    <w:rsid w:val="004B7C0A"/>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1AD"/>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5CE2"/>
    <w:rsid w:val="005F4D80"/>
    <w:rsid w:val="00602D1A"/>
    <w:rsid w:val="00611C06"/>
    <w:rsid w:val="0061322E"/>
    <w:rsid w:val="006230BA"/>
    <w:rsid w:val="00635F01"/>
    <w:rsid w:val="00636419"/>
    <w:rsid w:val="00642C44"/>
    <w:rsid w:val="006437BF"/>
    <w:rsid w:val="0065219D"/>
    <w:rsid w:val="00654B78"/>
    <w:rsid w:val="00665756"/>
    <w:rsid w:val="006716E6"/>
    <w:rsid w:val="006753EA"/>
    <w:rsid w:val="00677656"/>
    <w:rsid w:val="0068025F"/>
    <w:rsid w:val="006802D0"/>
    <w:rsid w:val="0068055B"/>
    <w:rsid w:val="00680D13"/>
    <w:rsid w:val="00684B6B"/>
    <w:rsid w:val="00695DA5"/>
    <w:rsid w:val="0069656D"/>
    <w:rsid w:val="006A653C"/>
    <w:rsid w:val="006A6C08"/>
    <w:rsid w:val="006B0FCE"/>
    <w:rsid w:val="006B0FDD"/>
    <w:rsid w:val="006B2F9C"/>
    <w:rsid w:val="006B3346"/>
    <w:rsid w:val="006B647B"/>
    <w:rsid w:val="006B7A2D"/>
    <w:rsid w:val="006C01CC"/>
    <w:rsid w:val="006C21C3"/>
    <w:rsid w:val="006C2706"/>
    <w:rsid w:val="006D6D17"/>
    <w:rsid w:val="006E0974"/>
    <w:rsid w:val="006E12F1"/>
    <w:rsid w:val="006E2165"/>
    <w:rsid w:val="006F54EF"/>
    <w:rsid w:val="006F6616"/>
    <w:rsid w:val="006F7EDA"/>
    <w:rsid w:val="00700119"/>
    <w:rsid w:val="00713341"/>
    <w:rsid w:val="00714449"/>
    <w:rsid w:val="00722198"/>
    <w:rsid w:val="007226ED"/>
    <w:rsid w:val="007228D4"/>
    <w:rsid w:val="007236D5"/>
    <w:rsid w:val="007244DB"/>
    <w:rsid w:val="00727A9C"/>
    <w:rsid w:val="007303C0"/>
    <w:rsid w:val="0073211A"/>
    <w:rsid w:val="00736A19"/>
    <w:rsid w:val="00746D2D"/>
    <w:rsid w:val="00747859"/>
    <w:rsid w:val="007536A0"/>
    <w:rsid w:val="00754BF4"/>
    <w:rsid w:val="00764327"/>
    <w:rsid w:val="00767F71"/>
    <w:rsid w:val="007718E7"/>
    <w:rsid w:val="00786A5B"/>
    <w:rsid w:val="00786A5D"/>
    <w:rsid w:val="007911E6"/>
    <w:rsid w:val="007A026A"/>
    <w:rsid w:val="007A0726"/>
    <w:rsid w:val="007A4F2E"/>
    <w:rsid w:val="007B02F2"/>
    <w:rsid w:val="007B3E53"/>
    <w:rsid w:val="007B74A0"/>
    <w:rsid w:val="007C2CE0"/>
    <w:rsid w:val="007C4DCE"/>
    <w:rsid w:val="007D370E"/>
    <w:rsid w:val="007D531E"/>
    <w:rsid w:val="007D54F6"/>
    <w:rsid w:val="007D7677"/>
    <w:rsid w:val="007D7E4A"/>
    <w:rsid w:val="007E3706"/>
    <w:rsid w:val="007E3845"/>
    <w:rsid w:val="007F2510"/>
    <w:rsid w:val="007F54B3"/>
    <w:rsid w:val="00800506"/>
    <w:rsid w:val="00803A3A"/>
    <w:rsid w:val="008045E5"/>
    <w:rsid w:val="00806BB0"/>
    <w:rsid w:val="00810541"/>
    <w:rsid w:val="00810749"/>
    <w:rsid w:val="00820CF2"/>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608F2"/>
    <w:rsid w:val="00860FBF"/>
    <w:rsid w:val="0086326E"/>
    <w:rsid w:val="00867F37"/>
    <w:rsid w:val="00870E52"/>
    <w:rsid w:val="008824A4"/>
    <w:rsid w:val="008855B0"/>
    <w:rsid w:val="008946EC"/>
    <w:rsid w:val="00894B23"/>
    <w:rsid w:val="008975D9"/>
    <w:rsid w:val="008A1181"/>
    <w:rsid w:val="008A331B"/>
    <w:rsid w:val="008A390D"/>
    <w:rsid w:val="008A5E87"/>
    <w:rsid w:val="008A6F4B"/>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07A8E"/>
    <w:rsid w:val="0091283E"/>
    <w:rsid w:val="00913BD2"/>
    <w:rsid w:val="00913CC2"/>
    <w:rsid w:val="00923F35"/>
    <w:rsid w:val="009253C2"/>
    <w:rsid w:val="00936F86"/>
    <w:rsid w:val="009420F8"/>
    <w:rsid w:val="009446F0"/>
    <w:rsid w:val="00950DB0"/>
    <w:rsid w:val="0095137E"/>
    <w:rsid w:val="00954494"/>
    <w:rsid w:val="00954B8E"/>
    <w:rsid w:val="00954FC3"/>
    <w:rsid w:val="00957085"/>
    <w:rsid w:val="0096066A"/>
    <w:rsid w:val="009622FE"/>
    <w:rsid w:val="009736DC"/>
    <w:rsid w:val="00975BC3"/>
    <w:rsid w:val="00975C55"/>
    <w:rsid w:val="009769B8"/>
    <w:rsid w:val="009819BA"/>
    <w:rsid w:val="0098291C"/>
    <w:rsid w:val="00982B46"/>
    <w:rsid w:val="00982C7B"/>
    <w:rsid w:val="00992156"/>
    <w:rsid w:val="00997675"/>
    <w:rsid w:val="009A0DC5"/>
    <w:rsid w:val="009A1C91"/>
    <w:rsid w:val="009A4BA6"/>
    <w:rsid w:val="009A67CC"/>
    <w:rsid w:val="009A6D02"/>
    <w:rsid w:val="009C43C2"/>
    <w:rsid w:val="009D14D4"/>
    <w:rsid w:val="009D3CF6"/>
    <w:rsid w:val="009D5661"/>
    <w:rsid w:val="009E3AE2"/>
    <w:rsid w:val="00A01B75"/>
    <w:rsid w:val="00A01F86"/>
    <w:rsid w:val="00A04187"/>
    <w:rsid w:val="00A046C0"/>
    <w:rsid w:val="00A11B7E"/>
    <w:rsid w:val="00A16E03"/>
    <w:rsid w:val="00A2721E"/>
    <w:rsid w:val="00A27AD4"/>
    <w:rsid w:val="00A3216B"/>
    <w:rsid w:val="00A32EB4"/>
    <w:rsid w:val="00A333A6"/>
    <w:rsid w:val="00A43B97"/>
    <w:rsid w:val="00A47716"/>
    <w:rsid w:val="00A53779"/>
    <w:rsid w:val="00A6195F"/>
    <w:rsid w:val="00A66ECD"/>
    <w:rsid w:val="00A8122F"/>
    <w:rsid w:val="00A86850"/>
    <w:rsid w:val="00A878E6"/>
    <w:rsid w:val="00A95A1D"/>
    <w:rsid w:val="00A97159"/>
    <w:rsid w:val="00A97527"/>
    <w:rsid w:val="00AA3236"/>
    <w:rsid w:val="00AB1B40"/>
    <w:rsid w:val="00AB77A5"/>
    <w:rsid w:val="00AC2E47"/>
    <w:rsid w:val="00AD0922"/>
    <w:rsid w:val="00AD1946"/>
    <w:rsid w:val="00AD270C"/>
    <w:rsid w:val="00AD399F"/>
    <w:rsid w:val="00AE02D7"/>
    <w:rsid w:val="00AF1C06"/>
    <w:rsid w:val="00B079E1"/>
    <w:rsid w:val="00B131B0"/>
    <w:rsid w:val="00B132CB"/>
    <w:rsid w:val="00B15CED"/>
    <w:rsid w:val="00B233CE"/>
    <w:rsid w:val="00B25D60"/>
    <w:rsid w:val="00B26364"/>
    <w:rsid w:val="00B2708D"/>
    <w:rsid w:val="00B31D0E"/>
    <w:rsid w:val="00B35B8F"/>
    <w:rsid w:val="00B368D5"/>
    <w:rsid w:val="00B43BCB"/>
    <w:rsid w:val="00B45F62"/>
    <w:rsid w:val="00B53350"/>
    <w:rsid w:val="00B6110F"/>
    <w:rsid w:val="00B67A4C"/>
    <w:rsid w:val="00B704F1"/>
    <w:rsid w:val="00B73E82"/>
    <w:rsid w:val="00B756AE"/>
    <w:rsid w:val="00B8150B"/>
    <w:rsid w:val="00B86D61"/>
    <w:rsid w:val="00B938DF"/>
    <w:rsid w:val="00B93978"/>
    <w:rsid w:val="00B97A5D"/>
    <w:rsid w:val="00BA02CC"/>
    <w:rsid w:val="00BA2171"/>
    <w:rsid w:val="00BA2634"/>
    <w:rsid w:val="00BA2739"/>
    <w:rsid w:val="00BA47E9"/>
    <w:rsid w:val="00BB1241"/>
    <w:rsid w:val="00BB2A3D"/>
    <w:rsid w:val="00BB4D36"/>
    <w:rsid w:val="00BB6623"/>
    <w:rsid w:val="00BB78EA"/>
    <w:rsid w:val="00BC01FD"/>
    <w:rsid w:val="00BD40AF"/>
    <w:rsid w:val="00BD6F23"/>
    <w:rsid w:val="00BD76C2"/>
    <w:rsid w:val="00BE15CD"/>
    <w:rsid w:val="00BF0102"/>
    <w:rsid w:val="00BF0AF8"/>
    <w:rsid w:val="00BF3051"/>
    <w:rsid w:val="00BF5899"/>
    <w:rsid w:val="00BF7559"/>
    <w:rsid w:val="00C018EA"/>
    <w:rsid w:val="00C03D80"/>
    <w:rsid w:val="00C0557A"/>
    <w:rsid w:val="00C13342"/>
    <w:rsid w:val="00C13AB1"/>
    <w:rsid w:val="00C14D8E"/>
    <w:rsid w:val="00C16F6E"/>
    <w:rsid w:val="00C17220"/>
    <w:rsid w:val="00C215A5"/>
    <w:rsid w:val="00C24BD4"/>
    <w:rsid w:val="00C2617E"/>
    <w:rsid w:val="00C34133"/>
    <w:rsid w:val="00C350C2"/>
    <w:rsid w:val="00C37DAB"/>
    <w:rsid w:val="00C41B0E"/>
    <w:rsid w:val="00C4501B"/>
    <w:rsid w:val="00C46FA5"/>
    <w:rsid w:val="00C6038B"/>
    <w:rsid w:val="00C63A78"/>
    <w:rsid w:val="00C646EA"/>
    <w:rsid w:val="00C66B79"/>
    <w:rsid w:val="00C66CD5"/>
    <w:rsid w:val="00C7050F"/>
    <w:rsid w:val="00C775B2"/>
    <w:rsid w:val="00C77667"/>
    <w:rsid w:val="00C779A7"/>
    <w:rsid w:val="00C77CA5"/>
    <w:rsid w:val="00C82CB4"/>
    <w:rsid w:val="00C93CD5"/>
    <w:rsid w:val="00CA3217"/>
    <w:rsid w:val="00CA46D4"/>
    <w:rsid w:val="00CA79B9"/>
    <w:rsid w:val="00CB1902"/>
    <w:rsid w:val="00CD05DC"/>
    <w:rsid w:val="00CD0D88"/>
    <w:rsid w:val="00CD18E0"/>
    <w:rsid w:val="00CD3288"/>
    <w:rsid w:val="00CD5D9E"/>
    <w:rsid w:val="00CE1D72"/>
    <w:rsid w:val="00CE78F4"/>
    <w:rsid w:val="00D02F09"/>
    <w:rsid w:val="00D05F27"/>
    <w:rsid w:val="00D10746"/>
    <w:rsid w:val="00D23242"/>
    <w:rsid w:val="00D23EE0"/>
    <w:rsid w:val="00D246D4"/>
    <w:rsid w:val="00D24C38"/>
    <w:rsid w:val="00D256BA"/>
    <w:rsid w:val="00D329BF"/>
    <w:rsid w:val="00D356A3"/>
    <w:rsid w:val="00D41E64"/>
    <w:rsid w:val="00D44079"/>
    <w:rsid w:val="00D4419C"/>
    <w:rsid w:val="00D45458"/>
    <w:rsid w:val="00D45F2B"/>
    <w:rsid w:val="00D50147"/>
    <w:rsid w:val="00D540F2"/>
    <w:rsid w:val="00D559EE"/>
    <w:rsid w:val="00D61E41"/>
    <w:rsid w:val="00D647D1"/>
    <w:rsid w:val="00D670AE"/>
    <w:rsid w:val="00D761AC"/>
    <w:rsid w:val="00D763D1"/>
    <w:rsid w:val="00D76E05"/>
    <w:rsid w:val="00D82291"/>
    <w:rsid w:val="00D85997"/>
    <w:rsid w:val="00D95EF7"/>
    <w:rsid w:val="00D970AC"/>
    <w:rsid w:val="00DA672C"/>
    <w:rsid w:val="00DB066C"/>
    <w:rsid w:val="00DB4FD0"/>
    <w:rsid w:val="00DC76D5"/>
    <w:rsid w:val="00DD1856"/>
    <w:rsid w:val="00DE00D5"/>
    <w:rsid w:val="00DE0212"/>
    <w:rsid w:val="00DE3772"/>
    <w:rsid w:val="00DF48D4"/>
    <w:rsid w:val="00E220C1"/>
    <w:rsid w:val="00E252E3"/>
    <w:rsid w:val="00E30C75"/>
    <w:rsid w:val="00E32001"/>
    <w:rsid w:val="00E33376"/>
    <w:rsid w:val="00E3516B"/>
    <w:rsid w:val="00E35D32"/>
    <w:rsid w:val="00E37E7E"/>
    <w:rsid w:val="00E421E2"/>
    <w:rsid w:val="00E42E62"/>
    <w:rsid w:val="00E45EF5"/>
    <w:rsid w:val="00E52C8B"/>
    <w:rsid w:val="00E52D9D"/>
    <w:rsid w:val="00E6016D"/>
    <w:rsid w:val="00E6082C"/>
    <w:rsid w:val="00E61C47"/>
    <w:rsid w:val="00E65F28"/>
    <w:rsid w:val="00E66DE2"/>
    <w:rsid w:val="00E73933"/>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63B1"/>
    <w:rsid w:val="00EB727D"/>
    <w:rsid w:val="00EC0092"/>
    <w:rsid w:val="00EC44FA"/>
    <w:rsid w:val="00EC75A1"/>
    <w:rsid w:val="00EC784A"/>
    <w:rsid w:val="00ED348A"/>
    <w:rsid w:val="00ED5EB6"/>
    <w:rsid w:val="00ED7C6D"/>
    <w:rsid w:val="00EE65DB"/>
    <w:rsid w:val="00F051E2"/>
    <w:rsid w:val="00F13FC0"/>
    <w:rsid w:val="00F1670B"/>
    <w:rsid w:val="00F265DA"/>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3247"/>
    <w:rsid w:val="00FB5D6C"/>
    <w:rsid w:val="00FB7BF0"/>
    <w:rsid w:val="00FC67B1"/>
    <w:rsid w:val="00FD3F6D"/>
    <w:rsid w:val="00FD45BD"/>
    <w:rsid w:val="00FD52D5"/>
    <w:rsid w:val="00FD7347"/>
    <w:rsid w:val="00FE3802"/>
    <w:rsid w:val="00FF390F"/>
    <w:rsid w:val="0199198A"/>
    <w:rsid w:val="05235BBF"/>
    <w:rsid w:val="057A6F83"/>
    <w:rsid w:val="083D0F5B"/>
    <w:rsid w:val="09A23D87"/>
    <w:rsid w:val="0C006D9B"/>
    <w:rsid w:val="0C790973"/>
    <w:rsid w:val="0C947E02"/>
    <w:rsid w:val="0DA32D00"/>
    <w:rsid w:val="12EA5FE1"/>
    <w:rsid w:val="18282018"/>
    <w:rsid w:val="1D524DB7"/>
    <w:rsid w:val="1E4B2C37"/>
    <w:rsid w:val="1E6225BB"/>
    <w:rsid w:val="260C121F"/>
    <w:rsid w:val="289C227E"/>
    <w:rsid w:val="2A0D2925"/>
    <w:rsid w:val="2B4431B2"/>
    <w:rsid w:val="2CA37518"/>
    <w:rsid w:val="2FFE5B53"/>
    <w:rsid w:val="322C3CB1"/>
    <w:rsid w:val="32CA33D5"/>
    <w:rsid w:val="33976056"/>
    <w:rsid w:val="36FD3E6E"/>
    <w:rsid w:val="390C4061"/>
    <w:rsid w:val="39194863"/>
    <w:rsid w:val="3E2E417A"/>
    <w:rsid w:val="41423887"/>
    <w:rsid w:val="4154039C"/>
    <w:rsid w:val="43BC6694"/>
    <w:rsid w:val="441962C6"/>
    <w:rsid w:val="44EE3B87"/>
    <w:rsid w:val="49B818C5"/>
    <w:rsid w:val="4AD23574"/>
    <w:rsid w:val="4AE83AA4"/>
    <w:rsid w:val="4B7029BB"/>
    <w:rsid w:val="4C1A40B9"/>
    <w:rsid w:val="4C3558DD"/>
    <w:rsid w:val="4FE34DE9"/>
    <w:rsid w:val="513F3A5E"/>
    <w:rsid w:val="56A8222D"/>
    <w:rsid w:val="5748422D"/>
    <w:rsid w:val="58D6764A"/>
    <w:rsid w:val="59B57910"/>
    <w:rsid w:val="5CD52C0D"/>
    <w:rsid w:val="5EB86E92"/>
    <w:rsid w:val="65EB0E69"/>
    <w:rsid w:val="66305F36"/>
    <w:rsid w:val="68537464"/>
    <w:rsid w:val="6D116F45"/>
    <w:rsid w:val="705661ED"/>
    <w:rsid w:val="731F2276"/>
    <w:rsid w:val="778C2829"/>
    <w:rsid w:val="77D7083D"/>
    <w:rsid w:val="78F354F1"/>
    <w:rsid w:val="7B646DB9"/>
    <w:rsid w:val="7CCA4BCF"/>
    <w:rsid w:val="7DB6110D"/>
    <w:rsid w:val="7E5111F0"/>
    <w:rsid w:val="7EAB3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basedOn w:val="1"/>
    <w:next w:val="1"/>
    <w:link w:val="27"/>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18"/>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19"/>
    <w:qFormat/>
    <w:uiPriority w:val="0"/>
    <w:pPr>
      <w:tabs>
        <w:tab w:val="center" w:pos="4153"/>
        <w:tab w:val="right" w:pos="8306"/>
      </w:tabs>
      <w:snapToGrid w:val="0"/>
      <w:jc w:val="left"/>
    </w:pPr>
    <w:rPr>
      <w:sz w:val="18"/>
      <w:szCs w:val="18"/>
    </w:rPr>
  </w:style>
  <w:style w:type="paragraph" w:styleId="12">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99"/>
    <w:pPr>
      <w:spacing w:beforeAutospacing="1"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正文文本缩进 Char"/>
    <w:link w:val="7"/>
    <w:qFormat/>
    <w:uiPriority w:val="0"/>
    <w:rPr>
      <w:rFonts w:ascii="宋体" w:hAnsi="Calibri"/>
      <w:kern w:val="2"/>
      <w:sz w:val="28"/>
      <w:szCs w:val="22"/>
    </w:rPr>
  </w:style>
  <w:style w:type="character" w:customStyle="1" w:styleId="19">
    <w:name w:val="页脚 Char"/>
    <w:link w:val="11"/>
    <w:qFormat/>
    <w:uiPriority w:val="0"/>
    <w:rPr>
      <w:kern w:val="2"/>
      <w:sz w:val="18"/>
      <w:szCs w:val="18"/>
    </w:rPr>
  </w:style>
  <w:style w:type="character" w:customStyle="1" w:styleId="20">
    <w:name w:val="页眉 Char"/>
    <w:link w:val="12"/>
    <w:qFormat/>
    <w:uiPriority w:val="0"/>
    <w:rPr>
      <w:kern w:val="2"/>
      <w:sz w:val="18"/>
      <w:szCs w:val="18"/>
    </w:rPr>
  </w:style>
  <w:style w:type="paragraph" w:customStyle="1" w:styleId="2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lang w:val="en-US" w:eastAsia="zh-CN" w:bidi="ar-SA"/>
    </w:rPr>
  </w:style>
  <w:style w:type="paragraph" w:customStyle="1" w:styleId="22">
    <w:name w:val="No Spacing1"/>
    <w:qFormat/>
    <w:uiPriority w:val="0"/>
    <w:rPr>
      <w:rFonts w:ascii="Calibri" w:hAnsi="Calibri" w:eastAsia="宋体" w:cs="Times New Roman"/>
      <w:sz w:val="22"/>
      <w:szCs w:val="22"/>
      <w:lang w:val="en-US" w:eastAsia="zh-CN" w:bidi="ar-SA"/>
    </w:rPr>
  </w:style>
  <w:style w:type="paragraph" w:customStyle="1" w:styleId="23">
    <w:name w:val="Char"/>
    <w:basedOn w:val="1"/>
    <w:qFormat/>
    <w:uiPriority w:val="0"/>
  </w:style>
  <w:style w:type="paragraph" w:customStyle="1" w:styleId="24">
    <w:name w:val="+正文"/>
    <w:basedOn w:val="1"/>
    <w:qFormat/>
    <w:uiPriority w:val="0"/>
    <w:pPr>
      <w:spacing w:line="360" w:lineRule="auto"/>
      <w:ind w:firstLine="200" w:firstLineChars="200"/>
    </w:pPr>
    <w:rPr>
      <w:sz w:val="24"/>
      <w:szCs w:val="28"/>
    </w:rPr>
  </w:style>
  <w:style w:type="paragraph" w:customStyle="1" w:styleId="25">
    <w:name w:val="List Paragraph1"/>
    <w:basedOn w:val="1"/>
    <w:qFormat/>
    <w:uiPriority w:val="0"/>
    <w:pPr>
      <w:widowControl/>
      <w:ind w:firstLine="420" w:firstLineChars="200"/>
      <w:jc w:val="left"/>
    </w:pPr>
    <w:rPr>
      <w:rFonts w:ascii="宋体" w:hAnsi="宋体" w:cs="宋体"/>
      <w:kern w:val="0"/>
      <w:sz w:val="24"/>
    </w:rPr>
  </w:style>
  <w:style w:type="paragraph" w:styleId="26">
    <w:name w:val="List Paragraph"/>
    <w:basedOn w:val="1"/>
    <w:qFormat/>
    <w:uiPriority w:val="34"/>
    <w:pPr>
      <w:ind w:firstLine="420" w:firstLineChars="200"/>
    </w:pPr>
    <w:rPr>
      <w:rFonts w:ascii="Calibri" w:hAnsi="Calibri"/>
      <w:szCs w:val="22"/>
    </w:rPr>
  </w:style>
  <w:style w:type="character" w:customStyle="1" w:styleId="27">
    <w:name w:val="标题 3 Char"/>
    <w:basedOn w:val="17"/>
    <w:link w:val="4"/>
    <w:qFormat/>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16</Pages>
  <Words>5727</Words>
  <Characters>6127</Characters>
  <Lines>53</Lines>
  <Paragraphs>14</Paragraphs>
  <TotalTime>4</TotalTime>
  <ScaleCrop>false</ScaleCrop>
  <LinksUpToDate>false</LinksUpToDate>
  <CharactersWithSpaces>6698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2023-04-28T08:24:00Z</dcterms:created>
  <dc:creator>dzs</dc:creator>
  <cp:lastModifiedBy>烏雲</cp:lastModifiedBy>
  <cp:lastPrinted>2023-04-28T08:30:00Z</cp:lastPrinted>
  <dcterms:modified xsi:type="dcterms:W3CDTF">2023-05-05T01:47:23Z</dcterms:modified>
  <dc:title>扬州自来水总公司工程材料招标邀请书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A90D64F871F549C18D51D18C7444ECCC_13</vt:lpwstr>
  </property>
</Properties>
</file>