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bCs/>
          <w:snapToGrid w:val="0"/>
          <w:sz w:val="44"/>
          <w:szCs w:val="44"/>
          <w:u w:val="single"/>
        </w:rPr>
      </w:pPr>
    </w:p>
    <w:p>
      <w:pPr>
        <w:adjustRightInd w:val="0"/>
        <w:snapToGrid w:val="0"/>
        <w:spacing w:line="360" w:lineRule="auto"/>
        <w:jc w:val="center"/>
        <w:rPr>
          <w:rFonts w:ascii="黑体" w:hAnsi="宋体" w:eastAsia="黑体"/>
          <w:b/>
          <w:snapToGrid w:val="0"/>
          <w:sz w:val="84"/>
          <w:szCs w:val="84"/>
        </w:rPr>
      </w:pPr>
    </w:p>
    <w:p>
      <w:pPr>
        <w:adjustRightInd w:val="0"/>
        <w:snapToGrid w:val="0"/>
        <w:spacing w:line="360" w:lineRule="auto"/>
        <w:jc w:val="center"/>
        <w:rPr>
          <w:rFonts w:hint="eastAsia" w:ascii="黑体" w:hAnsi="宋体" w:eastAsia="黑体"/>
          <w:b/>
          <w:snapToGrid w:val="0"/>
          <w:sz w:val="84"/>
          <w:szCs w:val="84"/>
          <w:lang w:eastAsia="zh-CN"/>
        </w:rPr>
      </w:pPr>
      <w:r>
        <w:rPr>
          <w:rFonts w:hint="eastAsia" w:ascii="黑体" w:hAnsi="宋体" w:eastAsia="黑体"/>
          <w:b/>
          <w:snapToGrid w:val="0"/>
          <w:sz w:val="84"/>
          <w:szCs w:val="84"/>
        </w:rPr>
        <w:t xml:space="preserve">金湾路污水整治路面白改黑项目   </w:t>
      </w:r>
    </w:p>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napToGrid w:val="0"/>
          <w:sz w:val="52"/>
          <w:szCs w:val="52"/>
        </w:rPr>
      </w:pPr>
      <w:r>
        <w:rPr>
          <w:rFonts w:hint="eastAsia" w:ascii="仿宋_GB2312" w:hAnsi="宋体" w:eastAsia="仿宋_GB2312"/>
          <w:b/>
          <w:spacing w:val="28"/>
          <w:sz w:val="52"/>
          <w:szCs w:val="48"/>
        </w:rPr>
        <w:t>劳务分包招标文件</w:t>
      </w: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480" w:lineRule="auto"/>
        <w:ind w:firstLine="602" w:firstLineChars="200"/>
        <w:rPr>
          <w:rFonts w:ascii="仿宋_GB2312" w:hAnsi="宋体" w:eastAsia="仿宋_GB2312"/>
          <w:b/>
          <w:bCs/>
          <w:snapToGrid w:val="0"/>
          <w:sz w:val="30"/>
        </w:rPr>
      </w:pPr>
    </w:p>
    <w:p>
      <w:pPr>
        <w:adjustRightInd w:val="0"/>
        <w:snapToGrid w:val="0"/>
        <w:spacing w:line="480" w:lineRule="auto"/>
        <w:ind w:firstLine="1051" w:firstLineChars="349"/>
        <w:rPr>
          <w:rFonts w:ascii="仿宋_GB2312" w:hAnsi="宋体" w:eastAsia="仿宋_GB2312"/>
          <w:b/>
          <w:bCs/>
          <w:snapToGrid w:val="0"/>
          <w:sz w:val="28"/>
        </w:rPr>
      </w:pPr>
      <w:r>
        <w:rPr>
          <w:rFonts w:hint="eastAsia" w:ascii="仿宋_GB2312" w:hAnsi="宋体" w:eastAsia="仿宋_GB2312"/>
          <w:b/>
          <w:bCs/>
          <w:snapToGrid w:val="0"/>
          <w:sz w:val="30"/>
        </w:rPr>
        <w:t xml:space="preserve">招   </w:t>
      </w:r>
      <w:r>
        <w:rPr>
          <w:rFonts w:ascii="仿宋_GB2312" w:hAnsi="宋体" w:eastAsia="仿宋_GB2312"/>
          <w:b/>
          <w:bCs/>
          <w:snapToGrid w:val="0"/>
          <w:sz w:val="30"/>
        </w:rPr>
        <w:t xml:space="preserve"> </w:t>
      </w:r>
      <w:r>
        <w:rPr>
          <w:rFonts w:hint="eastAsia" w:ascii="仿宋_GB2312" w:hAnsi="宋体" w:eastAsia="仿宋_GB2312"/>
          <w:b/>
          <w:bCs/>
          <w:snapToGrid w:val="0"/>
          <w:sz w:val="30"/>
        </w:rPr>
        <w:t>标   人 ：扬州市上善建设工程有限公司</w:t>
      </w:r>
    </w:p>
    <w:p>
      <w:pPr>
        <w:adjustRightInd w:val="0"/>
        <w:snapToGrid w:val="0"/>
        <w:spacing w:line="480" w:lineRule="auto"/>
        <w:ind w:firstLine="1042" w:firstLineChars="346"/>
        <w:rPr>
          <w:rFonts w:ascii="宋体" w:hAnsi="宋体"/>
          <w:bCs/>
          <w:snapToGrid w:val="0"/>
          <w:color w:val="FF0000"/>
          <w:sz w:val="30"/>
        </w:rPr>
      </w:pPr>
      <w:r>
        <w:rPr>
          <w:rFonts w:hint="eastAsia" w:ascii="仿宋_GB2312" w:hAnsi="宋体" w:eastAsia="仿宋_GB2312"/>
          <w:b/>
          <w:bCs/>
          <w:snapToGrid w:val="0"/>
          <w:sz w:val="30"/>
        </w:rPr>
        <w:t>发  布 日  期：</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3</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 xml:space="preserve">年 </w:t>
      </w:r>
      <w:r>
        <w:rPr>
          <w:rFonts w:hint="eastAsia" w:ascii="仿宋_GB2312" w:hAnsi="宋体" w:eastAsia="仿宋_GB2312"/>
          <w:b/>
          <w:bCs/>
          <w:snapToGrid w:val="0"/>
          <w:sz w:val="30"/>
          <w:u w:val="single"/>
          <w:lang w:val="en-US" w:eastAsia="zh-CN"/>
        </w:rPr>
        <w:t>1</w:t>
      </w:r>
      <w:r>
        <w:rPr>
          <w:rFonts w:hint="eastAsia" w:ascii="仿宋_GB2312" w:hAnsi="宋体" w:eastAsia="仿宋_GB2312"/>
          <w:b/>
          <w:bCs/>
          <w:snapToGrid w:val="0"/>
          <w:sz w:val="30"/>
        </w:rPr>
        <w:t>月</w:t>
      </w:r>
    </w:p>
    <w:p>
      <w:pPr>
        <w:adjustRightInd w:val="0"/>
        <w:snapToGrid w:val="0"/>
        <w:spacing w:line="360" w:lineRule="auto"/>
        <w:ind w:firstLine="881"/>
        <w:jc w:val="center"/>
        <w:rPr>
          <w:rFonts w:ascii="宋体" w:hAnsi="宋体"/>
          <w:b/>
          <w:snapToGrid w:val="0"/>
          <w:sz w:val="44"/>
          <w:highlight w:val="white"/>
        </w:rPr>
      </w:pPr>
    </w:p>
    <w:p>
      <w:pPr>
        <w:adjustRightInd w:val="0"/>
        <w:snapToGrid w:val="0"/>
        <w:spacing w:line="360" w:lineRule="auto"/>
        <w:ind w:firstLine="881"/>
        <w:jc w:val="center"/>
        <w:rPr>
          <w:rFonts w:ascii="宋体" w:hAnsi="宋体"/>
          <w:b/>
          <w:snapToGrid w:val="0"/>
          <w:sz w:val="44"/>
          <w:highlight w:val="white"/>
        </w:rPr>
      </w:pPr>
    </w:p>
    <w:p>
      <w:pPr>
        <w:adjustRightInd w:val="0"/>
        <w:snapToGrid w:val="0"/>
        <w:spacing w:line="360" w:lineRule="auto"/>
        <w:ind w:firstLine="881"/>
        <w:jc w:val="center"/>
        <w:rPr>
          <w:rFonts w:ascii="宋体" w:hAnsi="宋体"/>
          <w:b/>
          <w:snapToGrid w:val="0"/>
          <w:sz w:val="44"/>
          <w:highlight w:val="white"/>
        </w:rPr>
      </w:pPr>
    </w:p>
    <w:p>
      <w:pPr>
        <w:adjustRightInd w:val="0"/>
        <w:snapToGrid w:val="0"/>
        <w:spacing w:line="360" w:lineRule="auto"/>
        <w:ind w:firstLine="881"/>
        <w:jc w:val="center"/>
        <w:rPr>
          <w:rFonts w:ascii="宋体" w:hAnsi="宋体"/>
          <w:b/>
          <w:snapToGrid w:val="0"/>
          <w:sz w:val="44"/>
          <w:highlight w:val="white"/>
        </w:rPr>
      </w:pPr>
      <w:r>
        <w:rPr>
          <w:rFonts w:hint="eastAsia" w:ascii="宋体" w:hAnsi="宋体"/>
          <w:b/>
          <w:snapToGrid w:val="0"/>
          <w:sz w:val="44"/>
          <w:highlight w:val="white"/>
        </w:rPr>
        <w:t>目         录</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投标须知、投标人须知前附表</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总则</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招标文件</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投标文件</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投标报价</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投标文件密封和递交</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开标</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评标与定标</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授予合同</w:t>
      </w:r>
    </w:p>
    <w:p>
      <w:pPr>
        <w:numPr>
          <w:ilvl w:val="0"/>
          <w:numId w:val="1"/>
        </w:numPr>
        <w:adjustRightInd w:val="0"/>
        <w:snapToGrid w:val="0"/>
        <w:spacing w:line="480" w:lineRule="auto"/>
        <w:rPr>
          <w:rFonts w:ascii="宋体" w:hAnsi="宋体"/>
          <w:bCs/>
          <w:snapToGrid w:val="0"/>
          <w:sz w:val="32"/>
          <w:highlight w:val="white"/>
        </w:rPr>
      </w:pPr>
      <w:r>
        <w:rPr>
          <w:rFonts w:hint="eastAsia" w:ascii="宋体" w:hAnsi="宋体"/>
          <w:bCs/>
          <w:snapToGrid w:val="0"/>
          <w:sz w:val="32"/>
          <w:highlight w:val="white"/>
        </w:rPr>
        <w:t>招标最高限价清单</w:t>
      </w:r>
    </w:p>
    <w:p>
      <w:pPr>
        <w:adjustRightInd w:val="0"/>
        <w:snapToGrid w:val="0"/>
        <w:spacing w:line="480" w:lineRule="auto"/>
        <w:ind w:firstLine="640"/>
        <w:rPr>
          <w:rFonts w:ascii="宋体" w:hAnsi="宋体"/>
          <w:bCs/>
          <w:snapToGrid w:val="0"/>
          <w:sz w:val="32"/>
        </w:rPr>
      </w:pPr>
    </w:p>
    <w:p>
      <w:pPr>
        <w:adjustRightInd w:val="0"/>
        <w:snapToGrid w:val="0"/>
        <w:spacing w:line="480" w:lineRule="auto"/>
        <w:ind w:firstLine="640"/>
        <w:rPr>
          <w:rFonts w:ascii="宋体" w:hAnsi="宋体"/>
          <w:bCs/>
          <w:snapToGrid w:val="0"/>
          <w:sz w:val="32"/>
        </w:rPr>
      </w:pPr>
    </w:p>
    <w:p>
      <w:pPr>
        <w:pStyle w:val="12"/>
        <w:jc w:val="both"/>
        <w:rPr>
          <w:rFonts w:ascii="宋体" w:hAnsi="宋体"/>
          <w:snapToGrid w:val="0"/>
          <w:highlight w:val="white"/>
        </w:rPr>
      </w:pPr>
      <w:r>
        <w:rPr>
          <w:rFonts w:hint="eastAsia"/>
          <w:snapToGrid w:val="0"/>
          <w:highlight w:val="white"/>
        </w:rPr>
        <w:br w:type="page"/>
      </w:r>
      <w:r>
        <w:rPr>
          <w:rFonts w:hint="eastAsia"/>
          <w:snapToGrid w:val="0"/>
          <w:highlight w:val="white"/>
        </w:rPr>
        <w:t>一、</w:t>
      </w:r>
      <w:r>
        <w:rPr>
          <w:rFonts w:hint="eastAsia" w:ascii="宋体" w:hAnsi="宋体"/>
          <w:snapToGrid w:val="0"/>
          <w:highlight w:val="white"/>
        </w:rPr>
        <w:t xml:space="preserve"> 投标须知</w:t>
      </w:r>
    </w:p>
    <w:p>
      <w:pPr>
        <w:pStyle w:val="2"/>
        <w:rPr>
          <w:rFonts w:ascii="宋体" w:hAnsi="宋体"/>
        </w:rPr>
      </w:pPr>
      <w:r>
        <w:rPr>
          <w:rFonts w:hint="eastAsia" w:ascii="宋体" w:hAnsi="宋体"/>
          <w:highlight w:val="white"/>
        </w:rPr>
        <w:t>投标人须知前附表</w:t>
      </w:r>
    </w:p>
    <w:tbl>
      <w:tblPr>
        <w:tblStyle w:val="13"/>
        <w:tblW w:w="10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60"/>
        <w:gridCol w:w="2433"/>
        <w:gridCol w:w="920"/>
        <w:gridCol w:w="697"/>
        <w:gridCol w:w="38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69" w:type="dxa"/>
            <w:tcBorders>
              <w:top w:val="single" w:color="auto" w:sz="8"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招标人</w:t>
            </w:r>
          </w:p>
        </w:tc>
        <w:tc>
          <w:tcPr>
            <w:tcW w:w="8531" w:type="dxa"/>
            <w:gridSpan w:val="5"/>
            <w:tcBorders>
              <w:top w:val="single" w:color="auto" w:sz="8"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green"/>
              </w:rPr>
            </w:pPr>
            <w:r>
              <w:rPr>
                <w:rFonts w:hint="eastAsia" w:ascii="宋体" w:hAnsi="宋体"/>
                <w:snapToGrid w:val="0"/>
                <w:color w:val="000000"/>
                <w:sz w:val="28"/>
                <w:szCs w:val="28"/>
                <w:highlight w:val="white"/>
              </w:rPr>
              <w:t>扬州市上善建设工程有限公司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rPr>
              <w:t>工程名称</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adjustRightInd w:val="0"/>
              <w:snapToGrid w:val="0"/>
              <w:spacing w:line="240" w:lineRule="auto"/>
              <w:jc w:val="both"/>
              <w:rPr>
                <w:color w:val="333333"/>
                <w:sz w:val="28"/>
                <w:szCs w:val="28"/>
                <w:shd w:val="clear" w:color="auto" w:fill="FFFFFF"/>
              </w:rPr>
            </w:pPr>
            <w:r>
              <w:rPr>
                <w:rFonts w:hint="eastAsia" w:ascii="宋体" w:hAnsi="宋体"/>
                <w:snapToGrid w:val="0"/>
                <w:sz w:val="28"/>
                <w:szCs w:val="28"/>
              </w:rPr>
              <w:t>金湾路污水整治路面白改黑项目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建设地点</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green"/>
              </w:rPr>
            </w:pPr>
            <w:r>
              <w:rPr>
                <w:rFonts w:hint="eastAsia" w:ascii="宋体" w:hAnsi="宋体"/>
                <w:snapToGrid w:val="0"/>
                <w:sz w:val="28"/>
                <w:szCs w:val="28"/>
              </w:rPr>
              <w:t>泰安镇金泰路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仿宋_GB2312" w:hAnsi="宋体"/>
                <w:snapToGrid w:val="0"/>
                <w:sz w:val="28"/>
                <w:szCs w:val="28"/>
              </w:rPr>
            </w:pPr>
            <w:r>
              <w:rPr>
                <w:rFonts w:hint="eastAsia" w:ascii="仿宋_GB2312" w:hAnsi="宋体"/>
                <w:snapToGrid w:val="0"/>
                <w:sz w:val="28"/>
                <w:szCs w:val="28"/>
              </w:rPr>
              <w:t>工程造价</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rPr>
                <w:rFonts w:ascii="仿宋_GB2312" w:hAnsi="宋体"/>
                <w:b/>
                <w:snapToGrid w:val="0"/>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500801.63</w:t>
            </w:r>
            <w:r>
              <w:rPr>
                <w:rFonts w:hint="eastAsia" w:ascii="宋体" w:hAnsi="宋体" w:cs="宋体"/>
                <w:color w:val="000000" w:themeColor="text1"/>
                <w:sz w:val="28"/>
                <w:szCs w:val="28"/>
                <w14:textFill>
                  <w14:solidFill>
                    <w14:schemeClr w14:val="tx1"/>
                  </w14:solidFill>
                </w14:textFill>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仿宋_GB2312" w:hAnsi="宋体"/>
                <w:snapToGrid w:val="0"/>
                <w:sz w:val="28"/>
                <w:szCs w:val="28"/>
              </w:rPr>
            </w:pPr>
            <w:r>
              <w:rPr>
                <w:rFonts w:hint="eastAsia" w:ascii="仿宋_GB2312" w:hAnsi="宋体"/>
                <w:snapToGrid w:val="0"/>
                <w:sz w:val="28"/>
                <w:szCs w:val="28"/>
              </w:rPr>
              <w:t>投标报价方式</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rPr>
                <w:rFonts w:ascii="宋体" w:hAnsi="宋体" w:cs="宋体"/>
                <w:b/>
                <w:color w:val="333333"/>
                <w:kern w:val="0"/>
                <w:sz w:val="28"/>
                <w:szCs w:val="28"/>
              </w:rPr>
            </w:pPr>
            <w:r>
              <w:rPr>
                <w:rFonts w:hint="eastAsia" w:ascii="宋体" w:hAnsi="宋体"/>
                <w:snapToGrid w:val="0"/>
                <w:sz w:val="28"/>
                <w:szCs w:val="28"/>
              </w:rPr>
              <w:t>让利报价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仿宋_GB2312" w:hAnsi="宋体"/>
                <w:snapToGrid w:val="0"/>
                <w:sz w:val="28"/>
                <w:szCs w:val="28"/>
              </w:rPr>
            </w:pPr>
            <w:r>
              <w:rPr>
                <w:rFonts w:hint="eastAsia" w:ascii="仿宋_GB2312" w:hAnsi="宋体"/>
                <w:snapToGrid w:val="0"/>
                <w:sz w:val="28"/>
                <w:szCs w:val="28"/>
              </w:rPr>
              <w:t>招标控制价</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pacing w:line="460" w:lineRule="exact"/>
              <w:rPr>
                <w:rFonts w:ascii="宋体" w:hAnsi="宋体" w:cs="宋体"/>
                <w:b/>
                <w:color w:val="333333"/>
                <w:kern w:val="0"/>
                <w:sz w:val="28"/>
                <w:szCs w:val="28"/>
              </w:rPr>
            </w:pPr>
            <w:r>
              <w:rPr>
                <w:rFonts w:hint="eastAsia" w:ascii="宋体" w:hAnsi="宋体"/>
                <w:snapToGrid w:val="0"/>
                <w:sz w:val="28"/>
                <w:szCs w:val="28"/>
              </w:rPr>
              <w:t>让利16%（投标须让利16%及以上）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计划工期</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 xml:space="preserve">计划工期： </w:t>
            </w:r>
            <w:r>
              <w:rPr>
                <w:rFonts w:hint="eastAsia" w:ascii="宋体" w:hAnsi="宋体"/>
                <w:snapToGrid w:val="0"/>
                <w:sz w:val="28"/>
                <w:szCs w:val="28"/>
              </w:rPr>
              <w:t>30</w:t>
            </w:r>
            <w:r>
              <w:rPr>
                <w:rFonts w:hint="eastAsia" w:ascii="宋体" w:hAnsi="宋体"/>
                <w:snapToGrid w:val="0"/>
                <w:sz w:val="28"/>
                <w:szCs w:val="28"/>
                <w:highlight w:val="white"/>
              </w:rPr>
              <w:t>日历天；（具体开工时间，以甲方通知为准）</w:t>
            </w:r>
            <w:r>
              <w:rPr>
                <w:rFonts w:ascii="宋体" w:hAnsi="宋体"/>
                <w:snapToGrid w:val="0"/>
                <w:sz w:val="28"/>
                <w:szCs w:val="28"/>
                <w:highlight w:val="white"/>
              </w:rPr>
              <w:t xml:space="preserve"> </w:t>
            </w:r>
          </w:p>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计划开工日期：</w:t>
            </w:r>
            <w:r>
              <w:rPr>
                <w:rFonts w:hint="eastAsia" w:ascii="宋体" w:hAnsi="宋体"/>
                <w:snapToGrid w:val="0"/>
                <w:color w:val="0000FF"/>
                <w:sz w:val="28"/>
                <w:szCs w:val="28"/>
                <w:highlight w:val="white"/>
              </w:rPr>
              <w:t>2022年  月  日</w:t>
            </w:r>
            <w:r>
              <w:rPr>
                <w:rFonts w:hint="eastAsia" w:ascii="宋体" w:hAnsi="宋体"/>
                <w:snapToGrid w:val="0"/>
                <w:sz w:val="28"/>
                <w:szCs w:val="28"/>
                <w:highlight w:val="white"/>
              </w:rPr>
              <w:t>，</w:t>
            </w:r>
          </w:p>
          <w:p>
            <w:pPr>
              <w:snapToGrid w:val="0"/>
              <w:spacing w:line="460" w:lineRule="exact"/>
              <w:rPr>
                <w:rFonts w:ascii="宋体" w:hAnsi="宋体"/>
                <w:snapToGrid w:val="0"/>
                <w:color w:val="FF0000"/>
                <w:sz w:val="28"/>
                <w:szCs w:val="28"/>
              </w:rPr>
            </w:pPr>
            <w:r>
              <w:rPr>
                <w:rFonts w:hint="eastAsia" w:ascii="宋体" w:hAnsi="宋体"/>
                <w:snapToGrid w:val="0"/>
                <w:sz w:val="28"/>
                <w:szCs w:val="28"/>
                <w:highlight w:val="white"/>
              </w:rPr>
              <w:t>计划竣工日期：</w:t>
            </w:r>
            <w:r>
              <w:rPr>
                <w:rFonts w:hint="eastAsia" w:ascii="宋体" w:hAnsi="宋体"/>
                <w:snapToGrid w:val="0"/>
                <w:color w:val="0000FF"/>
                <w:sz w:val="28"/>
                <w:szCs w:val="28"/>
                <w:highlight w:val="white"/>
              </w:rPr>
              <w:t>2022年  月  日</w:t>
            </w:r>
            <w:r>
              <w:rPr>
                <w:rFonts w:hint="eastAsia" w:ascii="宋体" w:hAnsi="宋体"/>
                <w:snapToGrid w:val="0"/>
                <w:sz w:val="28"/>
                <w:szCs w:val="2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质量要求</w:t>
            </w:r>
          </w:p>
        </w:tc>
        <w:tc>
          <w:tcPr>
            <w:tcW w:w="309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green"/>
              </w:rPr>
            </w:pPr>
            <w:r>
              <w:rPr>
                <w:rFonts w:hint="eastAsia" w:ascii="宋体" w:hAnsi="宋体"/>
                <w:snapToGrid w:val="0"/>
                <w:sz w:val="28"/>
                <w:szCs w:val="28"/>
                <w:highlight w:val="white"/>
              </w:rPr>
              <w:t>合格</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b/>
                <w:color w:val="000000"/>
                <w:sz w:val="28"/>
                <w:szCs w:val="28"/>
              </w:rPr>
            </w:pPr>
            <w:r>
              <w:rPr>
                <w:rFonts w:hint="eastAsia" w:ascii="宋体" w:hAnsi="宋体"/>
                <w:snapToGrid w:val="0"/>
                <w:sz w:val="28"/>
                <w:szCs w:val="28"/>
                <w:highlight w:val="white"/>
              </w:rPr>
              <w:t>承包方式</w:t>
            </w:r>
          </w:p>
        </w:tc>
        <w:tc>
          <w:tcPr>
            <w:tcW w:w="3821" w:type="dxa"/>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b/>
                <w:color w:val="000000"/>
                <w:sz w:val="28"/>
                <w:szCs w:val="28"/>
                <w:highlight w:val="green"/>
              </w:rPr>
            </w:pPr>
            <w:r>
              <w:rPr>
                <w:rFonts w:hint="eastAsia" w:ascii="宋体" w:hAnsi="宋体"/>
                <w:bCs/>
                <w:color w:val="0000FF"/>
                <w:sz w:val="28"/>
                <w:szCs w:val="28"/>
                <w:highlight w:val="white"/>
              </w:rPr>
              <w:t>人工、机械、辅材等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投标文件份数</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投标文件要求正本</w:t>
            </w:r>
            <w:r>
              <w:rPr>
                <w:rFonts w:hint="eastAsia" w:ascii="宋体" w:hAnsi="宋体"/>
                <w:snapToGrid w:val="0"/>
                <w:color w:val="0000FF"/>
                <w:sz w:val="28"/>
                <w:szCs w:val="28"/>
                <w:highlight w:val="white"/>
                <w:u w:val="single"/>
              </w:rPr>
              <w:t>壹</w:t>
            </w:r>
            <w:r>
              <w:rPr>
                <w:rFonts w:hint="eastAsia" w:ascii="宋体" w:hAnsi="宋体"/>
                <w:snapToGrid w:val="0"/>
                <w:sz w:val="28"/>
                <w:szCs w:val="28"/>
                <w:highlight w:val="white"/>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现场查勘</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green"/>
              </w:rPr>
            </w:pPr>
            <w:r>
              <w:rPr>
                <w:rFonts w:hint="eastAsia" w:ascii="宋体" w:hAnsi="宋体" w:cs="TimesNewRomanPSMT"/>
                <w:color w:val="0000FF"/>
                <w:sz w:val="28"/>
                <w:szCs w:val="32"/>
                <w:highlight w:val="white"/>
              </w:rPr>
              <w:t xml:space="preserve"> 投标人自行查勘现场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澄清及答疑</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color w:val="0000FF"/>
                <w:sz w:val="28"/>
                <w:szCs w:val="28"/>
                <w:highlight w:val="white"/>
                <w:u w:val="single"/>
              </w:rPr>
            </w:pPr>
            <w:r>
              <w:rPr>
                <w:rFonts w:hint="eastAsia" w:ascii="宋体" w:hAnsi="宋体"/>
                <w:snapToGrid w:val="0"/>
                <w:sz w:val="28"/>
                <w:szCs w:val="28"/>
                <w:highlight w:val="white"/>
              </w:rPr>
              <w:t>投标人提出问题的截止时间:</w:t>
            </w:r>
            <w:r>
              <w:rPr>
                <w:rFonts w:hint="eastAsia" w:ascii="宋体" w:hAnsi="宋体"/>
                <w:snapToGrid w:val="0"/>
                <w:color w:val="0000FF"/>
                <w:sz w:val="28"/>
                <w:szCs w:val="28"/>
                <w:highlight w:val="white"/>
                <w:u w:val="single"/>
              </w:rPr>
              <w:t>202</w:t>
            </w:r>
            <w:r>
              <w:rPr>
                <w:rFonts w:hint="eastAsia" w:ascii="宋体" w:hAnsi="宋体"/>
                <w:snapToGrid w:val="0"/>
                <w:color w:val="0000FF"/>
                <w:sz w:val="28"/>
                <w:szCs w:val="28"/>
                <w:highlight w:val="white"/>
                <w:u w:val="single"/>
                <w:lang w:val="en-US" w:eastAsia="zh-CN"/>
              </w:rPr>
              <w:t>3</w:t>
            </w:r>
            <w:r>
              <w:rPr>
                <w:rFonts w:hint="eastAsia" w:ascii="宋体" w:hAnsi="宋体"/>
                <w:snapToGrid w:val="0"/>
                <w:color w:val="0000FF"/>
                <w:sz w:val="28"/>
                <w:szCs w:val="28"/>
                <w:highlight w:val="white"/>
                <w:u w:val="single"/>
              </w:rPr>
              <w:t xml:space="preserve"> 年 </w:t>
            </w:r>
            <w:r>
              <w:rPr>
                <w:rFonts w:hint="eastAsia" w:ascii="宋体" w:hAnsi="宋体"/>
                <w:snapToGrid w:val="0"/>
                <w:color w:val="0000FF"/>
                <w:sz w:val="28"/>
                <w:szCs w:val="28"/>
                <w:highlight w:val="white"/>
                <w:u w:val="single"/>
                <w:lang w:val="en-US" w:eastAsia="zh-CN"/>
              </w:rPr>
              <w:t>1</w:t>
            </w:r>
            <w:r>
              <w:rPr>
                <w:rFonts w:hint="eastAsia" w:ascii="宋体" w:hAnsi="宋体"/>
                <w:snapToGrid w:val="0"/>
                <w:color w:val="0000FF"/>
                <w:sz w:val="28"/>
                <w:szCs w:val="28"/>
                <w:highlight w:val="white"/>
                <w:u w:val="single"/>
              </w:rPr>
              <w:t xml:space="preserve"> 月  日</w:t>
            </w:r>
          </w:p>
          <w:p>
            <w:pPr>
              <w:snapToGrid w:val="0"/>
              <w:spacing w:line="460" w:lineRule="exact"/>
              <w:rPr>
                <w:rFonts w:ascii="宋体" w:hAnsi="宋体"/>
                <w:snapToGrid w:val="0"/>
                <w:color w:val="0000FF"/>
                <w:sz w:val="28"/>
                <w:szCs w:val="28"/>
                <w:highlight w:val="white"/>
                <w:u w:val="single"/>
              </w:rPr>
            </w:pPr>
            <w:r>
              <w:rPr>
                <w:rFonts w:hint="eastAsia" w:ascii="宋体" w:hAnsi="宋体"/>
                <w:snapToGrid w:val="0"/>
                <w:color w:val="0000FF"/>
                <w:sz w:val="28"/>
                <w:szCs w:val="28"/>
                <w:highlight w:val="white"/>
                <w:u w:val="single"/>
              </w:rPr>
              <w:t>方式：书面、传真、电子邮件</w:t>
            </w:r>
          </w:p>
          <w:p>
            <w:pPr>
              <w:snapToGrid w:val="0"/>
              <w:spacing w:line="460" w:lineRule="exact"/>
              <w:rPr>
                <w:rFonts w:ascii="宋体" w:hAnsi="宋体"/>
                <w:snapToGrid w:val="0"/>
                <w:sz w:val="28"/>
                <w:szCs w:val="28"/>
                <w:highlight w:val="white"/>
                <w:u w:val="single"/>
              </w:rPr>
            </w:pPr>
            <w:r>
              <w:rPr>
                <w:rFonts w:hint="eastAsia" w:ascii="宋体" w:hAnsi="宋体"/>
                <w:snapToGrid w:val="0"/>
                <w:color w:val="0000FF"/>
                <w:sz w:val="28"/>
                <w:szCs w:val="28"/>
                <w:highlight w:val="white"/>
                <w:u w:val="single"/>
              </w:rPr>
              <w:t>招标人澄清的时间：202</w:t>
            </w:r>
            <w:r>
              <w:rPr>
                <w:rFonts w:hint="eastAsia" w:ascii="宋体" w:hAnsi="宋体"/>
                <w:snapToGrid w:val="0"/>
                <w:color w:val="0000FF"/>
                <w:sz w:val="28"/>
                <w:szCs w:val="28"/>
                <w:highlight w:val="white"/>
                <w:u w:val="single"/>
                <w:lang w:val="en-US" w:eastAsia="zh-CN"/>
              </w:rPr>
              <w:t>3</w:t>
            </w:r>
            <w:r>
              <w:rPr>
                <w:rFonts w:hint="eastAsia" w:ascii="宋体" w:hAnsi="宋体"/>
                <w:snapToGrid w:val="0"/>
                <w:color w:val="0000FF"/>
                <w:sz w:val="28"/>
                <w:szCs w:val="28"/>
                <w:highlight w:val="white"/>
                <w:u w:val="single"/>
              </w:rPr>
              <w:t xml:space="preserve">年 </w:t>
            </w:r>
            <w:r>
              <w:rPr>
                <w:rFonts w:hint="eastAsia" w:ascii="宋体" w:hAnsi="宋体"/>
                <w:snapToGrid w:val="0"/>
                <w:color w:val="0000FF"/>
                <w:sz w:val="28"/>
                <w:szCs w:val="28"/>
                <w:highlight w:val="white"/>
                <w:u w:val="single"/>
                <w:lang w:val="en-US" w:eastAsia="zh-CN"/>
              </w:rPr>
              <w:t>1</w:t>
            </w:r>
            <w:r>
              <w:rPr>
                <w:rFonts w:hint="eastAsia" w:ascii="宋体" w:hAnsi="宋体"/>
                <w:snapToGrid w:val="0"/>
                <w:color w:val="0000FF"/>
                <w:sz w:val="28"/>
                <w:szCs w:val="28"/>
                <w:highlight w:val="white"/>
                <w:u w:val="single"/>
              </w:rPr>
              <w:t xml:space="preserve">月  日 </w:t>
            </w:r>
            <w:r>
              <w:rPr>
                <w:rFonts w:hint="eastAsia" w:ascii="宋体" w:hAnsi="宋体"/>
                <w:snapToGrid w:val="0"/>
                <w:color w:val="FF0000"/>
                <w:sz w:val="28"/>
                <w:szCs w:val="28"/>
                <w:highlight w:val="white"/>
                <w:u w:val="single"/>
              </w:rPr>
              <w:t xml:space="preserve"> </w:t>
            </w:r>
            <w:r>
              <w:rPr>
                <w:rFonts w:hint="eastAsia" w:ascii="宋体" w:hAnsi="宋体"/>
                <w:snapToGrid w:val="0"/>
                <w:color w:val="FF0000"/>
                <w:sz w:val="28"/>
                <w:szCs w:val="28"/>
                <w:highlight w:val="whit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投标截止时间</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rPr>
            </w:pPr>
            <w:r>
              <w:rPr>
                <w:rFonts w:hint="eastAsia" w:ascii="宋体" w:hAnsi="宋体"/>
                <w:snapToGrid w:val="0"/>
                <w:color w:val="0000FF"/>
                <w:sz w:val="28"/>
                <w:szCs w:val="28"/>
                <w:highlight w:val="white"/>
                <w:u w:val="single"/>
              </w:rPr>
              <w:t>202</w:t>
            </w:r>
            <w:r>
              <w:rPr>
                <w:rFonts w:hint="eastAsia" w:ascii="宋体" w:hAnsi="宋体"/>
                <w:snapToGrid w:val="0"/>
                <w:color w:val="0000FF"/>
                <w:sz w:val="28"/>
                <w:szCs w:val="28"/>
                <w:highlight w:val="white"/>
                <w:u w:val="single"/>
                <w:lang w:val="en-US" w:eastAsia="zh-CN"/>
              </w:rPr>
              <w:t>3</w:t>
            </w:r>
            <w:r>
              <w:rPr>
                <w:rFonts w:hint="eastAsia" w:ascii="宋体" w:hAnsi="宋体"/>
                <w:snapToGrid w:val="0"/>
                <w:color w:val="0000FF"/>
                <w:sz w:val="28"/>
                <w:szCs w:val="28"/>
                <w:highlight w:val="white"/>
                <w:u w:val="single"/>
              </w:rPr>
              <w:t xml:space="preserve">年 </w:t>
            </w:r>
            <w:r>
              <w:rPr>
                <w:rFonts w:hint="eastAsia" w:ascii="宋体" w:hAnsi="宋体"/>
                <w:snapToGrid w:val="0"/>
                <w:color w:val="0000FF"/>
                <w:sz w:val="28"/>
                <w:szCs w:val="28"/>
                <w:highlight w:val="white"/>
                <w:u w:val="single"/>
                <w:lang w:val="en-US" w:eastAsia="zh-CN"/>
              </w:rPr>
              <w:t>1</w:t>
            </w:r>
            <w:r>
              <w:rPr>
                <w:rFonts w:hint="eastAsia" w:ascii="宋体" w:hAnsi="宋体"/>
                <w:snapToGrid w:val="0"/>
                <w:color w:val="0000FF"/>
                <w:sz w:val="28"/>
                <w:szCs w:val="28"/>
                <w:highlight w:val="white"/>
                <w:u w:val="single"/>
              </w:rPr>
              <w:t>月   日 17</w:t>
            </w:r>
            <w:r>
              <w:rPr>
                <w:rFonts w:hint="eastAsia" w:ascii="宋体" w:hAnsi="宋体"/>
                <w:bCs/>
                <w:snapToGrid w:val="0"/>
                <w:color w:val="0000FF"/>
                <w:sz w:val="28"/>
                <w:szCs w:val="28"/>
                <w:highlight w:val="white"/>
                <w:u w:val="single"/>
              </w:rPr>
              <w:t xml:space="preserve"> </w:t>
            </w:r>
            <w:r>
              <w:rPr>
                <w:rFonts w:hint="eastAsia" w:ascii="宋体" w:hAnsi="宋体"/>
                <w:bCs/>
                <w:snapToGrid w:val="0"/>
                <w:sz w:val="28"/>
                <w:szCs w:val="28"/>
                <w:highlight w:val="white"/>
              </w:rPr>
              <w:t xml:space="preserve">时 </w:t>
            </w:r>
            <w:r>
              <w:rPr>
                <w:rFonts w:hint="eastAsia" w:ascii="宋体" w:hAnsi="宋体"/>
                <w:bCs/>
                <w:snapToGrid w:val="0"/>
                <w:color w:val="0000FF"/>
                <w:sz w:val="28"/>
                <w:szCs w:val="28"/>
                <w:highlight w:val="white"/>
                <w:u w:val="single"/>
              </w:rPr>
              <w:t>00</w:t>
            </w:r>
            <w:r>
              <w:rPr>
                <w:rFonts w:hint="eastAsia" w:ascii="宋体" w:hAnsi="宋体"/>
                <w:bCs/>
                <w:snapToGrid w:val="0"/>
                <w:sz w:val="28"/>
                <w:szCs w:val="28"/>
                <w:highlight w:val="white"/>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投标有效期</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color w:val="0000FF"/>
                <w:sz w:val="28"/>
                <w:szCs w:val="28"/>
                <w:highlight w:val="white"/>
                <w:u w:val="single"/>
              </w:rPr>
            </w:pPr>
            <w:r>
              <w:rPr>
                <w:rFonts w:hint="eastAsia" w:ascii="宋体" w:hAnsi="宋体"/>
                <w:snapToGrid w:val="0"/>
                <w:color w:val="0000FF"/>
                <w:sz w:val="28"/>
                <w:szCs w:val="28"/>
                <w:highlight w:val="white"/>
                <w:u w:val="single"/>
              </w:rPr>
              <w:t>1天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投标文件递交</w:t>
            </w:r>
          </w:p>
        </w:tc>
        <w:tc>
          <w:tcPr>
            <w:tcW w:w="6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地址</w:t>
            </w:r>
          </w:p>
        </w:tc>
        <w:tc>
          <w:tcPr>
            <w:tcW w:w="33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green"/>
              </w:rPr>
            </w:pPr>
            <w:r>
              <w:rPr>
                <w:rFonts w:hint="eastAsia" w:ascii="宋体" w:hAnsi="宋体"/>
                <w:snapToGrid w:val="0"/>
                <w:color w:val="0000FF"/>
                <w:sz w:val="28"/>
                <w:szCs w:val="28"/>
                <w:highlight w:val="white"/>
              </w:rPr>
              <w:t>扬州市立新路</w:t>
            </w:r>
            <w:r>
              <w:rPr>
                <w:rFonts w:ascii="宋体" w:hAnsi="宋体"/>
                <w:snapToGrid w:val="0"/>
                <w:color w:val="0000FF"/>
                <w:sz w:val="28"/>
                <w:szCs w:val="28"/>
                <w:highlight w:val="white"/>
              </w:rPr>
              <w:t>14</w:t>
            </w:r>
            <w:r>
              <w:rPr>
                <w:rFonts w:hint="eastAsia" w:ascii="宋体" w:hAnsi="宋体"/>
                <w:snapToGrid w:val="0"/>
                <w:color w:val="0000FF"/>
                <w:sz w:val="28"/>
                <w:szCs w:val="28"/>
                <w:highlight w:val="white"/>
              </w:rPr>
              <w:t>号</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地点</w:t>
            </w:r>
          </w:p>
        </w:tc>
        <w:tc>
          <w:tcPr>
            <w:tcW w:w="3821" w:type="dxa"/>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green"/>
                <w:u w:val="single"/>
              </w:rPr>
            </w:pPr>
            <w:r>
              <w:rPr>
                <w:rFonts w:hint="eastAsia" w:ascii="宋体" w:hAnsi="宋体"/>
                <w:snapToGrid w:val="0"/>
                <w:color w:val="0000FF"/>
                <w:sz w:val="28"/>
                <w:szCs w:val="28"/>
                <w:highlight w:val="white"/>
                <w:u w:val="single"/>
              </w:rPr>
              <w:t>扬州市上善建设工程有限公司工程技术部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开标会</w:t>
            </w:r>
          </w:p>
        </w:tc>
        <w:tc>
          <w:tcPr>
            <w:tcW w:w="660"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时间</w:t>
            </w:r>
          </w:p>
        </w:tc>
        <w:tc>
          <w:tcPr>
            <w:tcW w:w="335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60" w:lineRule="exact"/>
              <w:ind w:left="700" w:leftChars="200" w:hanging="280" w:hangingChars="100"/>
              <w:rPr>
                <w:rFonts w:ascii="宋体" w:hAnsi="宋体"/>
                <w:snapToGrid w:val="0"/>
                <w:sz w:val="28"/>
                <w:szCs w:val="28"/>
              </w:rPr>
            </w:pPr>
            <w:r>
              <w:rPr>
                <w:rFonts w:hint="eastAsia" w:ascii="宋体" w:hAnsi="宋体"/>
                <w:snapToGrid w:val="0"/>
                <w:sz w:val="28"/>
                <w:szCs w:val="28"/>
              </w:rPr>
              <w:t>另定</w:t>
            </w:r>
          </w:p>
        </w:tc>
        <w:tc>
          <w:tcPr>
            <w:tcW w:w="69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地址</w:t>
            </w:r>
          </w:p>
        </w:tc>
        <w:tc>
          <w:tcPr>
            <w:tcW w:w="3821" w:type="dxa"/>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green"/>
              </w:rPr>
            </w:pPr>
            <w:r>
              <w:rPr>
                <w:rFonts w:hint="eastAsia" w:ascii="宋体" w:hAnsi="宋体"/>
                <w:snapToGrid w:val="0"/>
                <w:color w:val="0000FF"/>
                <w:sz w:val="28"/>
                <w:szCs w:val="28"/>
                <w:highlight w:val="white"/>
                <w:u w:val="single"/>
              </w:rPr>
              <w:t>扬州市上善建设工程有限公司会议室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招标范围</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路面拆除外运、路基养护、路牙铺设、</w:t>
            </w:r>
            <w:r>
              <w:rPr>
                <w:rFonts w:hint="eastAsia" w:ascii="宋体" w:hAnsi="宋体"/>
                <w:snapToGrid w:val="0"/>
                <w:sz w:val="28"/>
                <w:szCs w:val="28"/>
              </w:rPr>
              <w:t>车道划线等（详见后表）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投标报价方式</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rPr>
            </w:pPr>
            <w:r>
              <w:rPr>
                <w:rFonts w:hint="eastAsia" w:ascii="宋体" w:hAnsi="宋体"/>
                <w:b/>
                <w:bCs/>
                <w:snapToGrid w:val="0"/>
                <w:color w:val="0000FF"/>
                <w:sz w:val="28"/>
                <w:highlight w:val="white"/>
              </w:rPr>
              <w:t>让利报价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标书装订</w:t>
            </w:r>
          </w:p>
          <w:p>
            <w:pPr>
              <w:snapToGrid w:val="0"/>
              <w:spacing w:line="460" w:lineRule="exact"/>
              <w:rPr>
                <w:rFonts w:ascii="宋体" w:hAnsi="宋体"/>
                <w:snapToGrid w:val="0"/>
                <w:sz w:val="28"/>
                <w:szCs w:val="28"/>
              </w:rPr>
            </w:pPr>
            <w:r>
              <w:rPr>
                <w:rFonts w:hint="eastAsia" w:ascii="宋体" w:hAnsi="宋体"/>
                <w:snapToGrid w:val="0"/>
                <w:sz w:val="28"/>
                <w:szCs w:val="28"/>
                <w:highlight w:val="white"/>
              </w:rPr>
              <w:t>及密封要求</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所有封袋上应写明招标人名称、工程名称和标段及投标人的名称。</w:t>
            </w:r>
          </w:p>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所有投标文件都必须在封袋加盖投标单位法人公章及其法定代表人或授权委托人印鉴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sz w:val="28"/>
                <w:szCs w:val="28"/>
              </w:rPr>
            </w:pPr>
            <w:r>
              <w:rPr>
                <w:rFonts w:hint="eastAsia" w:ascii="宋体" w:hAnsi="宋体"/>
                <w:snapToGrid w:val="0"/>
                <w:color w:val="000000"/>
                <w:sz w:val="28"/>
                <w:szCs w:val="28"/>
              </w:rPr>
              <w:t>投标人资质条件、能力和信誉</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资质条件：市政工程二级及以上资质。</w:t>
            </w:r>
          </w:p>
          <w:p>
            <w:pPr>
              <w:spacing w:line="460" w:lineRule="exact"/>
              <w:rPr>
                <w:rFonts w:ascii="宋体" w:hAnsi="宋体"/>
                <w:snapToGrid w:val="0"/>
                <w:sz w:val="28"/>
                <w:szCs w:val="28"/>
                <w:highlight w:val="white"/>
              </w:rPr>
            </w:pPr>
            <w:r>
              <w:rPr>
                <w:rFonts w:hint="eastAsia" w:ascii="宋体" w:hAnsi="宋体"/>
                <w:snapToGrid w:val="0"/>
                <w:sz w:val="28"/>
                <w:szCs w:val="28"/>
                <w:highlight w:val="white"/>
              </w:rPr>
              <w:t>业绩要求：☑拟派项目负责人 自  2019 年1月 1 日以来承担过类似工程，类似工程认定标准：承担过单项合同造价40万元及以上的市政工程(业绩时间认定以竣工验收证明材料时间为准) 。业绩应同时提供以下资料：1、中标通知书或直接发包通知书；2、施工合同；3、竣工验收证明。项目负责人承担的类似业绩中标通知书或直接发包通知书（直接发包备案表）、施工合同、竣工验收证明中所注明的项目经理名称应与拟投标项目负责人名称一致，如有变更，应附项目经理变更备案资料；项目经理（建造师，下同）资格： 市政工程专业二级及以上建造师资质；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white"/>
              </w:rPr>
            </w:pPr>
            <w:r>
              <w:rPr>
                <w:sz w:val="28"/>
                <w:szCs w:val="28"/>
              </w:rPr>
              <w:t>投标文件编制</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hd w:val="clear" w:color="auto" w:fill="FFFFFF"/>
              <w:adjustRightInd w:val="0"/>
              <w:snapToGrid w:val="0"/>
              <w:rPr>
                <w:sz w:val="28"/>
                <w:szCs w:val="28"/>
              </w:rPr>
            </w:pPr>
            <w:r>
              <w:rPr>
                <w:sz w:val="28"/>
                <w:szCs w:val="28"/>
              </w:rPr>
              <w:t>投标文件正本一份</w:t>
            </w:r>
          </w:p>
          <w:p>
            <w:pPr>
              <w:pStyle w:val="30"/>
              <w:numPr>
                <w:ilvl w:val="0"/>
                <w:numId w:val="0"/>
              </w:numPr>
              <w:shd w:val="clear" w:color="auto" w:fill="FFFFFF"/>
              <w:adjustRightInd w:val="0"/>
              <w:snapToGrid w:val="0"/>
              <w:rPr>
                <w:rFonts w:ascii="Times New Roman" w:hAnsi="Times New Roman" w:cs="Times New Roman"/>
                <w:sz w:val="28"/>
                <w:szCs w:val="28"/>
              </w:rPr>
            </w:pP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rPr>
              <w:t>法定代表人证明书</w:t>
            </w:r>
          </w:p>
          <w:p>
            <w:pPr>
              <w:pStyle w:val="30"/>
              <w:numPr>
                <w:ilvl w:val="0"/>
                <w:numId w:val="0"/>
              </w:numPr>
              <w:shd w:val="clear" w:color="auto" w:fill="FFFFFF"/>
              <w:adjustRightInd w:val="0"/>
              <w:snapToGrid w:val="0"/>
              <w:rPr>
                <w:rFonts w:ascii="Times New Roman" w:hAnsi="Times New Roman" w:cs="Times New Roman"/>
                <w:sz w:val="28"/>
                <w:szCs w:val="28"/>
              </w:rPr>
            </w:pP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法人授权委托书（若由法定代表人投标提供法人身份证复印件）</w:t>
            </w:r>
          </w:p>
          <w:p>
            <w:pPr>
              <w:pStyle w:val="30"/>
              <w:numPr>
                <w:ilvl w:val="0"/>
                <w:numId w:val="0"/>
              </w:numPr>
              <w:shd w:val="clear" w:color="auto" w:fill="FFFFFF"/>
              <w:adjustRightInd w:val="0"/>
              <w:snapToGrid w:val="0"/>
              <w:rPr>
                <w:rFonts w:ascii="Times New Roman" w:hAnsi="Times New Roman" w:cs="Times New Roman"/>
                <w:sz w:val="28"/>
                <w:szCs w:val="28"/>
              </w:rPr>
            </w:pPr>
            <w:r>
              <w:rPr>
                <w:rFonts w:hint="eastAsia" w:ascii="Times New Roman" w:hAnsi="Times New Roman" w:cs="Times New Roman"/>
                <w:sz w:val="28"/>
                <w:szCs w:val="28"/>
                <w:lang w:val="en-US" w:eastAsia="zh-CN"/>
              </w:rPr>
              <w:t>3.</w:t>
            </w:r>
            <w:r>
              <w:rPr>
                <w:rFonts w:ascii="Times New Roman" w:hAnsi="Times New Roman" w:cs="Times New Roman"/>
                <w:sz w:val="28"/>
                <w:szCs w:val="28"/>
              </w:rPr>
              <w:t>投标人</w:t>
            </w:r>
            <w:r>
              <w:rPr>
                <w:rFonts w:hint="eastAsia" w:ascii="Times New Roman" w:hAnsi="Times New Roman" w:cs="Times New Roman"/>
                <w:sz w:val="28"/>
                <w:szCs w:val="28"/>
              </w:rPr>
              <w:t>资信证明</w:t>
            </w:r>
          </w:p>
          <w:p>
            <w:pPr>
              <w:pStyle w:val="30"/>
              <w:numPr>
                <w:ilvl w:val="0"/>
                <w:numId w:val="0"/>
              </w:numPr>
              <w:shd w:val="clear" w:color="auto" w:fill="FFFFFF"/>
              <w:adjustRightInd w:val="0"/>
              <w:snapToGrid w:val="0"/>
              <w:rPr>
                <w:rFonts w:ascii="Times New Roman" w:hAnsi="Times New Roman" w:cs="Times New Roman"/>
                <w:sz w:val="28"/>
                <w:szCs w:val="28"/>
              </w:rPr>
            </w:pPr>
            <w:r>
              <w:rPr>
                <w:rFonts w:hint="eastAsia" w:ascii="Times New Roman" w:hAnsi="Times New Roman" w:cs="Times New Roman"/>
                <w:sz w:val="28"/>
                <w:szCs w:val="28"/>
                <w:lang w:val="en-US" w:eastAsia="zh-CN"/>
              </w:rPr>
              <w:t>4.</w:t>
            </w:r>
            <w:r>
              <w:rPr>
                <w:rFonts w:hint="eastAsia" w:ascii="Times New Roman" w:hAnsi="Times New Roman" w:cs="Times New Roman"/>
                <w:sz w:val="28"/>
                <w:szCs w:val="28"/>
              </w:rPr>
              <w:t>投标人相关业绩证明</w:t>
            </w:r>
          </w:p>
          <w:p>
            <w:pPr>
              <w:pStyle w:val="30"/>
              <w:numPr>
                <w:ilvl w:val="0"/>
                <w:numId w:val="0"/>
              </w:numPr>
              <w:shd w:val="clear" w:color="auto" w:fill="FFFFFF"/>
              <w:adjustRightInd w:val="0"/>
              <w:snapToGrid w:val="0"/>
              <w:rPr>
                <w:rFonts w:ascii="Times New Roman" w:hAnsi="Times New Roman" w:cs="Times New Roman"/>
                <w:sz w:val="28"/>
                <w:szCs w:val="28"/>
              </w:rPr>
            </w:pPr>
            <w:r>
              <w:rPr>
                <w:rFonts w:hint="eastAsia" w:ascii="Times New Roman" w:hAnsi="Times New Roman" w:cs="Times New Roman"/>
                <w:sz w:val="28"/>
                <w:szCs w:val="28"/>
                <w:lang w:val="en-US" w:eastAsia="zh-CN"/>
              </w:rPr>
              <w:t>5.</w:t>
            </w:r>
            <w:r>
              <w:rPr>
                <w:rFonts w:hint="eastAsia" w:ascii="Times New Roman" w:hAnsi="Times New Roman" w:cs="Times New Roman"/>
                <w:sz w:val="28"/>
                <w:szCs w:val="28"/>
              </w:rPr>
              <w:t>投标报价书</w:t>
            </w:r>
          </w:p>
          <w:p>
            <w:pPr>
              <w:pStyle w:val="30"/>
              <w:numPr>
                <w:ilvl w:val="0"/>
                <w:numId w:val="0"/>
              </w:numPr>
              <w:shd w:val="clear" w:color="auto" w:fill="FFFFFF"/>
              <w:adjustRightInd w:val="0"/>
              <w:snapToGrid w:val="0"/>
              <w:rPr>
                <w:rFonts w:ascii="Times New Roman" w:hAnsi="Times New Roman" w:cs="Times New Roman"/>
                <w:sz w:val="28"/>
                <w:szCs w:val="28"/>
              </w:rPr>
            </w:pPr>
            <w:r>
              <w:rPr>
                <w:rFonts w:hint="eastAsia" w:ascii="Times New Roman" w:hAnsi="Times New Roman" w:cs="Times New Roman"/>
                <w:sz w:val="28"/>
                <w:szCs w:val="28"/>
                <w:lang w:val="en-US" w:eastAsia="zh-CN"/>
              </w:rPr>
              <w:t>6.</w:t>
            </w:r>
            <w:r>
              <w:rPr>
                <w:rFonts w:hint="eastAsia" w:ascii="Times New Roman" w:hAnsi="Times New Roman" w:cs="Times New Roman"/>
                <w:sz w:val="28"/>
                <w:szCs w:val="28"/>
              </w:rPr>
              <w:t>施工方案</w:t>
            </w:r>
          </w:p>
          <w:p>
            <w:pPr>
              <w:snapToGrid w:val="0"/>
              <w:spacing w:line="460" w:lineRule="exact"/>
              <w:rPr>
                <w:rFonts w:ascii="宋体" w:hAnsi="宋体"/>
                <w:snapToGrid w:val="0"/>
                <w:sz w:val="28"/>
                <w:szCs w:val="28"/>
                <w:highlight w:val="white"/>
              </w:rPr>
            </w:pPr>
            <w:r>
              <w:rPr>
                <w:rFonts w:hint="eastAsia"/>
                <w:sz w:val="28"/>
                <w:szCs w:val="28"/>
              </w:rPr>
              <w:t>其它相关资料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评标办法</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rPr>
                <w:rFonts w:ascii="宋体" w:hAnsi="宋体"/>
                <w:snapToGrid w:val="0"/>
                <w:sz w:val="28"/>
                <w:szCs w:val="28"/>
                <w:highlight w:val="white"/>
              </w:rPr>
            </w:pPr>
            <w:r>
              <w:rPr>
                <w:rFonts w:hint="eastAsia" w:ascii="宋体" w:hAnsi="宋体"/>
                <w:snapToGrid w:val="0"/>
                <w:sz w:val="28"/>
                <w:szCs w:val="28"/>
                <w:highlight w:val="white"/>
              </w:rPr>
              <w:t>合理低价中标法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z w:val="28"/>
                <w:szCs w:val="28"/>
              </w:rPr>
            </w:pPr>
            <w:r>
              <w:rPr>
                <w:rFonts w:hint="eastAsia" w:ascii="宋体" w:hAnsi="宋体"/>
                <w:sz w:val="28"/>
                <w:szCs w:val="28"/>
                <w:highlight w:val="white"/>
              </w:rPr>
              <w:t>合同结算方式</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240" w:lineRule="auto"/>
              <w:rPr>
                <w:rFonts w:hAnsi="Arial" w:cs="宋体"/>
                <w:color w:val="FF0000"/>
                <w:spacing w:val="-3"/>
                <w:kern w:val="0"/>
                <w:sz w:val="28"/>
                <w:szCs w:val="28"/>
              </w:rPr>
            </w:pPr>
            <w:r>
              <w:rPr>
                <w:rFonts w:hint="eastAsia" w:hAnsi="Arial" w:cs="宋体"/>
                <w:color w:val="FF0000"/>
                <w:spacing w:val="-3"/>
                <w:kern w:val="0"/>
                <w:sz w:val="28"/>
                <w:szCs w:val="28"/>
              </w:rPr>
              <w:t>1、本合同价款采用固定单价合同方式确定。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69" w:type="dxa"/>
            <w:tcBorders>
              <w:top w:val="single" w:color="auto" w:sz="4" w:space="0"/>
              <w:left w:val="single" w:color="auto" w:sz="8" w:space="0"/>
              <w:bottom w:val="single" w:color="auto" w:sz="4"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其他</w:t>
            </w:r>
          </w:p>
        </w:tc>
        <w:tc>
          <w:tcPr>
            <w:tcW w:w="8531" w:type="dxa"/>
            <w:gridSpan w:val="5"/>
            <w:tcBorders>
              <w:top w:val="single" w:color="auto" w:sz="4" w:space="0"/>
              <w:left w:val="single" w:color="auto" w:sz="4" w:space="0"/>
              <w:bottom w:val="single" w:color="auto" w:sz="4" w:space="0"/>
              <w:right w:val="single" w:color="auto" w:sz="8" w:space="0"/>
            </w:tcBorders>
            <w:vAlign w:val="center"/>
          </w:tcPr>
          <w:p>
            <w:pPr>
              <w:snapToGrid w:val="0"/>
              <w:spacing w:line="460" w:lineRule="exact"/>
              <w:ind w:left="34" w:hanging="34"/>
              <w:rPr>
                <w:rFonts w:hAnsi="Arial" w:cs="宋体"/>
                <w:color w:val="FF0000"/>
                <w:spacing w:val="-3"/>
                <w:kern w:val="0"/>
                <w:sz w:val="28"/>
                <w:szCs w:val="28"/>
              </w:rPr>
            </w:pPr>
            <w:r>
              <w:rPr>
                <w:rFonts w:hint="eastAsia" w:hAnsi="Arial" w:cs="宋体"/>
                <w:color w:val="FF0000"/>
                <w:spacing w:val="-3"/>
                <w:kern w:val="0"/>
                <w:sz w:val="28"/>
                <w:szCs w:val="28"/>
              </w:rPr>
              <w:t>1、工程质量保修承诺：本工程质保期为两年。</w:t>
            </w:r>
          </w:p>
          <w:p>
            <w:pPr>
              <w:snapToGrid w:val="0"/>
              <w:spacing w:line="460" w:lineRule="exact"/>
              <w:ind w:left="34" w:hanging="34"/>
              <w:rPr>
                <w:rFonts w:hAnsi="Arial" w:cs="宋体"/>
                <w:color w:val="FF0000"/>
                <w:spacing w:val="-3"/>
                <w:kern w:val="0"/>
                <w:sz w:val="28"/>
                <w:szCs w:val="28"/>
              </w:rPr>
            </w:pPr>
            <w:r>
              <w:rPr>
                <w:rFonts w:hint="eastAsia" w:hAnsi="Arial" w:cs="宋体"/>
                <w:color w:val="FF0000"/>
                <w:spacing w:val="-3"/>
                <w:kern w:val="0"/>
                <w:sz w:val="28"/>
                <w:szCs w:val="28"/>
              </w:rPr>
              <w:t>2、中标人需编制专项施工方案及施工资料。</w:t>
            </w:r>
          </w:p>
          <w:p>
            <w:pPr>
              <w:snapToGrid w:val="0"/>
              <w:spacing w:line="460" w:lineRule="exact"/>
              <w:ind w:left="34" w:hanging="34"/>
              <w:rPr>
                <w:rFonts w:hAnsi="Arial" w:cs="宋体"/>
                <w:color w:val="FF0000"/>
                <w:spacing w:val="-3"/>
                <w:kern w:val="0"/>
                <w:sz w:val="28"/>
                <w:szCs w:val="28"/>
              </w:rPr>
            </w:pPr>
            <w:r>
              <w:rPr>
                <w:rFonts w:hint="eastAsia" w:hAnsi="Arial" w:cs="宋体"/>
                <w:color w:val="FF0000"/>
                <w:spacing w:val="-3"/>
                <w:kern w:val="0"/>
                <w:sz w:val="28"/>
                <w:szCs w:val="28"/>
              </w:rPr>
              <w:t>3、中标人施工需执行扬州市工程施工扬尘防控要求和扬州市上善建设工程有限公司扬尘防控要求。</w:t>
            </w:r>
          </w:p>
          <w:p>
            <w:pPr>
              <w:snapToGrid w:val="0"/>
              <w:spacing w:line="460" w:lineRule="exact"/>
              <w:ind w:left="34" w:hanging="34"/>
              <w:rPr>
                <w:rFonts w:ascii="宋体" w:hAnsi="宋体"/>
                <w:snapToGrid w:val="0"/>
                <w:sz w:val="28"/>
                <w:szCs w:val="28"/>
                <w:highlight w:val="white"/>
              </w:rPr>
            </w:pPr>
            <w:r>
              <w:rPr>
                <w:rFonts w:hint="eastAsia" w:hAnsi="Arial" w:cs="宋体"/>
                <w:color w:val="FF0000"/>
                <w:spacing w:val="-3"/>
                <w:kern w:val="0"/>
                <w:sz w:val="28"/>
                <w:szCs w:val="28"/>
              </w:rPr>
              <w:t>4、投标人须在扬州市上善建设工程有限公司协作单位名录库中。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969" w:type="dxa"/>
            <w:tcBorders>
              <w:top w:val="single" w:color="auto" w:sz="4" w:space="0"/>
              <w:left w:val="single" w:color="auto" w:sz="8" w:space="0"/>
              <w:bottom w:val="single" w:color="auto" w:sz="8" w:space="0"/>
              <w:right w:val="single" w:color="auto" w:sz="4" w:space="0"/>
            </w:tcBorders>
            <w:vAlign w:val="center"/>
          </w:tcPr>
          <w:p>
            <w:pPr>
              <w:snapToGrid w:val="0"/>
              <w:spacing w:line="460" w:lineRule="exact"/>
              <w:rPr>
                <w:rFonts w:ascii="宋体" w:hAnsi="宋体"/>
                <w:snapToGrid w:val="0"/>
                <w:sz w:val="28"/>
                <w:szCs w:val="28"/>
              </w:rPr>
            </w:pPr>
            <w:r>
              <w:rPr>
                <w:rFonts w:hint="eastAsia" w:ascii="宋体" w:hAnsi="宋体"/>
                <w:snapToGrid w:val="0"/>
                <w:sz w:val="28"/>
                <w:szCs w:val="28"/>
                <w:highlight w:val="white"/>
              </w:rPr>
              <w:t>联系方式</w:t>
            </w:r>
          </w:p>
        </w:tc>
        <w:tc>
          <w:tcPr>
            <w:tcW w:w="8531" w:type="dxa"/>
            <w:gridSpan w:val="5"/>
            <w:tcBorders>
              <w:top w:val="single" w:color="auto" w:sz="4" w:space="0"/>
              <w:left w:val="single" w:color="auto" w:sz="4" w:space="0"/>
              <w:bottom w:val="single" w:color="auto" w:sz="8" w:space="0"/>
              <w:right w:val="single" w:color="auto" w:sz="8" w:space="0"/>
            </w:tcBorders>
            <w:vAlign w:val="center"/>
          </w:tcPr>
          <w:p>
            <w:pPr>
              <w:adjustRightInd w:val="0"/>
              <w:snapToGrid w:val="0"/>
              <w:spacing w:line="460" w:lineRule="exact"/>
              <w:rPr>
                <w:rFonts w:ascii="宋体" w:hAnsi="宋体"/>
                <w:sz w:val="28"/>
                <w:szCs w:val="28"/>
              </w:rPr>
            </w:pPr>
            <w:r>
              <w:rPr>
                <w:rFonts w:hint="eastAsia" w:ascii="宋体" w:hAnsi="宋体"/>
                <w:sz w:val="28"/>
                <w:szCs w:val="28"/>
                <w:highlight w:val="white"/>
              </w:rPr>
              <w:t>招标人：</w:t>
            </w:r>
            <w:r>
              <w:rPr>
                <w:rFonts w:hint="eastAsia" w:ascii="宋体" w:hAnsi="宋体"/>
                <w:color w:val="0000FF"/>
                <w:sz w:val="28"/>
                <w:szCs w:val="28"/>
              </w:rPr>
              <w:t>扬州市上善建设工程有限公司</w:t>
            </w:r>
          </w:p>
          <w:p>
            <w:pPr>
              <w:adjustRightInd w:val="0"/>
              <w:snapToGrid w:val="0"/>
              <w:spacing w:line="460" w:lineRule="exact"/>
              <w:rPr>
                <w:rFonts w:ascii="宋体" w:hAnsi="宋体"/>
                <w:sz w:val="28"/>
                <w:szCs w:val="28"/>
              </w:rPr>
            </w:pPr>
            <w:r>
              <w:rPr>
                <w:rFonts w:hint="eastAsia" w:ascii="宋体" w:hAnsi="宋体"/>
                <w:sz w:val="28"/>
                <w:szCs w:val="28"/>
                <w:highlight w:val="white"/>
              </w:rPr>
              <w:t>地  址：</w:t>
            </w:r>
            <w:r>
              <w:rPr>
                <w:rFonts w:hint="eastAsia" w:ascii="宋体" w:hAnsi="宋体"/>
                <w:color w:val="0000FF"/>
                <w:sz w:val="28"/>
                <w:szCs w:val="28"/>
                <w:highlight w:val="white"/>
              </w:rPr>
              <w:t>扬州</w:t>
            </w:r>
            <w:r>
              <w:rPr>
                <w:rFonts w:hint="eastAsia" w:ascii="宋体" w:hAnsi="宋体"/>
                <w:color w:val="0000FF"/>
                <w:sz w:val="28"/>
                <w:szCs w:val="28"/>
              </w:rPr>
              <w:t>市立新路1</w:t>
            </w:r>
            <w:r>
              <w:rPr>
                <w:rFonts w:ascii="宋体" w:hAnsi="宋体"/>
                <w:color w:val="0000FF"/>
                <w:sz w:val="28"/>
                <w:szCs w:val="28"/>
              </w:rPr>
              <w:t>4</w:t>
            </w:r>
            <w:r>
              <w:rPr>
                <w:rFonts w:hint="eastAsia" w:ascii="宋体" w:hAnsi="宋体"/>
                <w:color w:val="0000FF"/>
                <w:sz w:val="28"/>
                <w:szCs w:val="28"/>
              </w:rPr>
              <w:t>号</w:t>
            </w:r>
          </w:p>
          <w:p>
            <w:pPr>
              <w:adjustRightInd w:val="0"/>
              <w:snapToGrid w:val="0"/>
              <w:spacing w:line="460" w:lineRule="exact"/>
              <w:rPr>
                <w:rFonts w:ascii="宋体" w:hAnsi="宋体"/>
                <w:color w:val="0000FF"/>
                <w:sz w:val="28"/>
                <w:szCs w:val="28"/>
                <w:highlight w:val="white"/>
              </w:rPr>
            </w:pPr>
            <w:r>
              <w:rPr>
                <w:rFonts w:hint="eastAsia" w:ascii="宋体" w:hAnsi="宋体"/>
                <w:sz w:val="28"/>
                <w:szCs w:val="28"/>
                <w:highlight w:val="white"/>
              </w:rPr>
              <w:t>电  话：18952758166</w:t>
            </w:r>
          </w:p>
          <w:p>
            <w:pPr>
              <w:adjustRightInd w:val="0"/>
              <w:snapToGrid w:val="0"/>
              <w:spacing w:line="460" w:lineRule="exact"/>
              <w:rPr>
                <w:rFonts w:ascii="宋体" w:hAnsi="宋体"/>
                <w:sz w:val="28"/>
                <w:szCs w:val="28"/>
              </w:rPr>
            </w:pPr>
            <w:r>
              <w:rPr>
                <w:rFonts w:hint="eastAsia" w:ascii="宋体" w:hAnsi="宋体"/>
                <w:sz w:val="28"/>
                <w:szCs w:val="28"/>
                <w:highlight w:val="white"/>
              </w:rPr>
              <w:t>联系人：</w:t>
            </w:r>
            <w:r>
              <w:rPr>
                <w:rFonts w:hint="eastAsia" w:ascii="宋体" w:hAnsi="宋体"/>
                <w:color w:val="0000FF"/>
                <w:sz w:val="28"/>
                <w:szCs w:val="28"/>
              </w:rPr>
              <w:t xml:space="preserve"> 陈佩</w:t>
            </w:r>
          </w:p>
        </w:tc>
      </w:tr>
    </w:tbl>
    <w:p>
      <w:pPr>
        <w:adjustRightInd w:val="0"/>
        <w:snapToGrid w:val="0"/>
        <w:spacing w:line="460" w:lineRule="exact"/>
        <w:rPr>
          <w:rFonts w:ascii="宋体" w:hAnsi="宋体"/>
          <w:b/>
          <w:bCs/>
          <w:snapToGrid w:val="0"/>
          <w:sz w:val="28"/>
          <w:szCs w:val="36"/>
        </w:rPr>
      </w:pPr>
      <w:r>
        <w:rPr>
          <w:rFonts w:hint="eastAsia" w:ascii="宋体" w:hAnsi="宋体"/>
          <w:sz w:val="28"/>
          <w:szCs w:val="28"/>
          <w:highlight w:val="white"/>
        </w:rPr>
        <w:t>招标文件编制人（签名）：</w:t>
      </w:r>
      <w:r>
        <w:rPr>
          <w:rFonts w:hint="eastAsia" w:ascii="宋体" w:hAnsi="宋体"/>
          <w:sz w:val="28"/>
          <w:szCs w:val="28"/>
          <w:highlight w:val="white"/>
          <w:lang w:eastAsia="zh-CN"/>
        </w:rPr>
        <w:t>于剑</w:t>
      </w:r>
      <w:r>
        <w:rPr>
          <w:rFonts w:hint="eastAsia" w:ascii="宋体" w:hAnsi="宋体"/>
          <w:sz w:val="28"/>
          <w:szCs w:val="28"/>
          <w:highlight w:val="white"/>
        </w:rPr>
        <w:t xml:space="preserve">            单位（盖章）：</w:t>
      </w:r>
    </w:p>
    <w:p>
      <w:pPr>
        <w:spacing w:line="440" w:lineRule="exact"/>
        <w:rPr>
          <w:rFonts w:ascii="宋体" w:hAnsi="宋体"/>
          <w:b/>
          <w:sz w:val="32"/>
          <w:szCs w:val="32"/>
        </w:rPr>
      </w:pPr>
      <w:r>
        <w:rPr>
          <w:rFonts w:ascii="宋体" w:hAnsi="宋体"/>
          <w:highlight w:val="white"/>
        </w:rPr>
        <w:br w:type="page"/>
      </w:r>
      <w:r>
        <w:rPr>
          <w:rFonts w:hint="eastAsia" w:ascii="宋体" w:hAnsi="宋体"/>
          <w:b/>
          <w:bCs/>
          <w:sz w:val="32"/>
          <w:szCs w:val="32"/>
          <w:highlight w:val="white"/>
        </w:rPr>
        <w:t>二、</w:t>
      </w:r>
      <w:r>
        <w:rPr>
          <w:rFonts w:hint="eastAsia" w:ascii="宋体" w:hAnsi="宋体"/>
          <w:b/>
          <w:sz w:val="32"/>
          <w:szCs w:val="32"/>
          <w:highlight w:val="white"/>
        </w:rPr>
        <w:t>总    则</w:t>
      </w:r>
    </w:p>
    <w:p>
      <w:pPr>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1、招标项目概况</w:t>
      </w:r>
    </w:p>
    <w:p>
      <w:pPr>
        <w:autoSpaceDE w:val="0"/>
        <w:autoSpaceDN w:val="0"/>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1.1本招标项目已具备招标条件，现对本工程进行招标</w:t>
      </w:r>
    </w:p>
    <w:p>
      <w:pPr>
        <w:autoSpaceDE w:val="0"/>
        <w:autoSpaceDN w:val="0"/>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2、投标费用</w:t>
      </w:r>
    </w:p>
    <w:p>
      <w:pPr>
        <w:autoSpaceDE w:val="0"/>
        <w:autoSpaceDN w:val="0"/>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2.1投标人应承担其编制投标文件与递交投标文件所涉及的一切费用。不管投标结果如何，招标人对上述费用不负任何责任。</w:t>
      </w:r>
    </w:p>
    <w:p>
      <w:pPr>
        <w:autoSpaceDE w:val="0"/>
        <w:autoSpaceDN w:val="0"/>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3、保密</w:t>
      </w:r>
    </w:p>
    <w:p>
      <w:pPr>
        <w:autoSpaceDE w:val="0"/>
        <w:autoSpaceDN w:val="0"/>
        <w:adjustRightInd w:val="0"/>
        <w:snapToGrid w:val="0"/>
        <w:spacing w:line="440" w:lineRule="exact"/>
        <w:ind w:firstLine="560"/>
        <w:rPr>
          <w:rFonts w:ascii="宋体" w:hAnsi="宋体"/>
          <w:snapToGrid w:val="0"/>
          <w:sz w:val="28"/>
          <w:szCs w:val="28"/>
        </w:rPr>
      </w:pPr>
      <w:r>
        <w:rPr>
          <w:rFonts w:hint="eastAsia" w:ascii="宋体" w:hAnsi="宋体"/>
          <w:snapToGrid w:val="0"/>
          <w:sz w:val="28"/>
          <w:highlight w:val="white"/>
        </w:rPr>
        <w:t>参与招标投标活动的各方应对招标文件和投标文件中的商业和技术等秘密保密，违者应对由此造成的后果承担法律责任</w:t>
      </w:r>
      <w:r>
        <w:rPr>
          <w:rFonts w:hint="eastAsia" w:ascii="宋体" w:hAnsi="宋体"/>
          <w:snapToGrid w:val="0"/>
          <w:sz w:val="28"/>
          <w:szCs w:val="28"/>
          <w:highlight w:val="white"/>
        </w:rPr>
        <w:t>。</w:t>
      </w:r>
    </w:p>
    <w:p>
      <w:pPr>
        <w:autoSpaceDE w:val="0"/>
        <w:autoSpaceDN w:val="0"/>
        <w:adjustRightInd w:val="0"/>
        <w:snapToGrid w:val="0"/>
        <w:spacing w:line="440" w:lineRule="exact"/>
        <w:ind w:firstLine="560"/>
        <w:rPr>
          <w:rFonts w:ascii="宋体" w:hAnsi="宋体"/>
          <w:snapToGrid w:val="0"/>
          <w:sz w:val="28"/>
          <w:szCs w:val="28"/>
        </w:rPr>
      </w:pPr>
    </w:p>
    <w:p>
      <w:pPr>
        <w:spacing w:line="440" w:lineRule="exact"/>
        <w:rPr>
          <w:rFonts w:ascii="宋体" w:hAnsi="宋体"/>
          <w:b/>
          <w:sz w:val="32"/>
          <w:szCs w:val="32"/>
          <w:highlight w:val="white"/>
        </w:rPr>
      </w:pPr>
      <w:r>
        <w:rPr>
          <w:rFonts w:hint="eastAsia" w:ascii="宋体" w:hAnsi="宋体"/>
          <w:b/>
          <w:sz w:val="32"/>
          <w:szCs w:val="32"/>
          <w:highlight w:val="white"/>
        </w:rPr>
        <w:t>三、招  标  文  件</w:t>
      </w:r>
    </w:p>
    <w:p>
      <w:pPr>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4、招标文件的内容</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4.1招标文件包括以下文件（包括不仅限于此）：</w:t>
      </w:r>
    </w:p>
    <w:p>
      <w:pPr>
        <w:numPr>
          <w:ilvl w:val="1"/>
          <w:numId w:val="2"/>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投标人须知；</w:t>
      </w:r>
    </w:p>
    <w:p>
      <w:pPr>
        <w:numPr>
          <w:ilvl w:val="1"/>
          <w:numId w:val="2"/>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评标标准与办法；</w:t>
      </w:r>
    </w:p>
    <w:p>
      <w:pPr>
        <w:numPr>
          <w:ilvl w:val="1"/>
          <w:numId w:val="2"/>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合同主要条款；</w:t>
      </w:r>
    </w:p>
    <w:p>
      <w:pPr>
        <w:numPr>
          <w:ilvl w:val="1"/>
          <w:numId w:val="2"/>
        </w:numPr>
        <w:tabs>
          <w:tab w:val="left" w:pos="142"/>
          <w:tab w:val="left" w:pos="851"/>
          <w:tab w:val="clear" w:pos="2199"/>
        </w:tabs>
        <w:adjustRightInd w:val="0"/>
        <w:snapToGrid w:val="0"/>
        <w:spacing w:line="440" w:lineRule="exact"/>
        <w:ind w:left="1560" w:firstLine="560"/>
        <w:rPr>
          <w:rFonts w:ascii="宋体" w:hAnsi="宋体"/>
          <w:snapToGrid w:val="0"/>
          <w:sz w:val="28"/>
        </w:rPr>
      </w:pPr>
      <w:r>
        <w:rPr>
          <w:rFonts w:hint="eastAsia" w:ascii="宋体" w:hAnsi="宋体"/>
          <w:snapToGrid w:val="0"/>
          <w:sz w:val="28"/>
          <w:highlight w:val="white"/>
        </w:rPr>
        <w:t>投标文件格式</w:t>
      </w:r>
      <w:r>
        <w:rPr>
          <w:rFonts w:hint="eastAsia" w:ascii="宋体" w:hAnsi="宋体"/>
          <w:snapToGrid w:val="0"/>
          <w:sz w:val="28"/>
        </w:rPr>
        <w:t>；</w:t>
      </w:r>
    </w:p>
    <w:p>
      <w:pPr>
        <w:numPr>
          <w:ilvl w:val="1"/>
          <w:numId w:val="2"/>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所有投标期间发出的补充通知。</w:t>
      </w:r>
    </w:p>
    <w:p>
      <w:pPr>
        <w:numPr>
          <w:ilvl w:val="1"/>
          <w:numId w:val="2"/>
        </w:numPr>
        <w:tabs>
          <w:tab w:val="left" w:pos="142"/>
          <w:tab w:val="left" w:pos="851"/>
          <w:tab w:val="clear" w:pos="2199"/>
        </w:tabs>
        <w:adjustRightInd w:val="0"/>
        <w:snapToGrid w:val="0"/>
        <w:spacing w:line="440" w:lineRule="exact"/>
        <w:ind w:left="1560" w:firstLine="560"/>
        <w:rPr>
          <w:rFonts w:ascii="宋体" w:hAnsi="宋体"/>
          <w:snapToGrid w:val="0"/>
          <w:sz w:val="28"/>
          <w:highlight w:val="white"/>
        </w:rPr>
      </w:pPr>
      <w:r>
        <w:rPr>
          <w:rFonts w:hint="eastAsia" w:ascii="宋体" w:hAnsi="宋体"/>
          <w:snapToGrid w:val="0"/>
          <w:sz w:val="28"/>
          <w:highlight w:val="white"/>
        </w:rPr>
        <w:t>招标控制价清单</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4.2根据本章第5款和第6款对招标文件所作的澄清、修改，构成招标文件的组成部分。</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4.3投标人应认真阅读本招标文件中所有的内容，并按招标文件的规定和要求编写投标文件，不能满足招标文件实质性要求的投标文件，将被视为无效投标文件。</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5、招标文件的澄清和修改</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6、招标控制价</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6.1</w:t>
      </w:r>
      <w:r>
        <w:rPr>
          <w:rFonts w:ascii="宋体" w:hAnsi="宋体"/>
          <w:snapToGrid w:val="0"/>
          <w:sz w:val="28"/>
          <w:highlight w:val="white"/>
        </w:rPr>
        <w:t>招标控制价</w:t>
      </w:r>
      <w:r>
        <w:rPr>
          <w:rFonts w:hint="eastAsia" w:ascii="宋体" w:hAnsi="宋体"/>
          <w:snapToGrid w:val="0"/>
          <w:sz w:val="28"/>
          <w:highlight w:val="white"/>
        </w:rPr>
        <w:t>随同招标文件以书面形式发给投标人。</w:t>
      </w:r>
    </w:p>
    <w:p>
      <w:pPr>
        <w:tabs>
          <w:tab w:val="left" w:pos="851"/>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6.2招标控制价异议处理</w:t>
      </w:r>
    </w:p>
    <w:p>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hint="eastAsia" w:ascii="宋体" w:hAnsi="宋体"/>
          <w:b/>
          <w:bCs/>
          <w:snapToGrid w:val="0"/>
          <w:sz w:val="28"/>
          <w:highlight w:val="white"/>
        </w:rPr>
        <w:t>投标人对招标人公布的招标最高限价有异议时，应以前附表中所列方式向招标人提出，招标人应当及时核实。经核实确有错误的，招标人应当调整招标最高限价，在开标3日前通知所有投标人。</w:t>
      </w:r>
      <w:bookmarkStart w:id="0" w:name="EBa85809a0bc05463bb2f6aa37edbe78ac"/>
      <w:r>
        <w:rPr>
          <w:rFonts w:ascii="宋体" w:hAnsi="宋体"/>
          <w:b/>
          <w:bCs/>
          <w:snapToGrid w:val="0"/>
          <w:color w:val="000080"/>
          <w:sz w:val="20"/>
          <w:highlight w:val="white"/>
        </w:rPr>
        <w:t xml:space="preserve"> </w:t>
      </w:r>
      <w:bookmarkEnd w:id="0"/>
      <w:bookmarkStart w:id="1" w:name="EB1159bd3c17904cc28a0e817afaac90ef"/>
      <w:r>
        <w:rPr>
          <w:rFonts w:ascii="宋体" w:hAnsi="宋体"/>
          <w:b/>
          <w:bCs/>
          <w:snapToGrid w:val="0"/>
          <w:color w:val="000080"/>
          <w:sz w:val="20"/>
          <w:highlight w:val="white"/>
        </w:rPr>
        <w:t xml:space="preserve"> </w:t>
      </w:r>
      <w:bookmarkEnd w:id="1"/>
    </w:p>
    <w:p>
      <w:pPr>
        <w:tabs>
          <w:tab w:val="left" w:pos="0"/>
          <w:tab w:val="left" w:pos="993"/>
          <w:tab w:val="left" w:pos="1134"/>
        </w:tabs>
        <w:adjustRightInd w:val="0"/>
        <w:snapToGrid w:val="0"/>
        <w:spacing w:line="440" w:lineRule="exact"/>
        <w:ind w:firstLine="561"/>
        <w:rPr>
          <w:rFonts w:ascii="宋体" w:hAnsi="宋体"/>
          <w:snapToGrid w:val="0"/>
          <w:sz w:val="28"/>
        </w:rPr>
      </w:pPr>
    </w:p>
    <w:p>
      <w:pPr>
        <w:spacing w:line="440" w:lineRule="exact"/>
        <w:rPr>
          <w:rFonts w:ascii="宋体" w:hAnsi="宋体"/>
          <w:b/>
          <w:sz w:val="32"/>
          <w:szCs w:val="32"/>
          <w:highlight w:val="white"/>
        </w:rPr>
      </w:pPr>
      <w:r>
        <w:rPr>
          <w:rFonts w:hint="eastAsia" w:ascii="宋体" w:hAnsi="宋体"/>
          <w:b/>
          <w:sz w:val="32"/>
          <w:szCs w:val="32"/>
          <w:highlight w:val="white"/>
        </w:rPr>
        <w:t>四、投 标 文 件 的 组 成</w:t>
      </w:r>
    </w:p>
    <w:p>
      <w:pPr>
        <w:tabs>
          <w:tab w:val="left" w:pos="-1134"/>
          <w:tab w:val="left" w:pos="0"/>
        </w:tabs>
        <w:adjustRightInd w:val="0"/>
        <w:snapToGrid w:val="0"/>
        <w:spacing w:line="440" w:lineRule="exact"/>
        <w:ind w:firstLine="560"/>
        <w:rPr>
          <w:rFonts w:ascii="宋体" w:hAnsi="宋体"/>
          <w:bCs/>
          <w:snapToGrid w:val="0"/>
          <w:sz w:val="28"/>
        </w:rPr>
      </w:pPr>
      <w:r>
        <w:rPr>
          <w:rFonts w:hint="eastAsia" w:ascii="宋体" w:hAnsi="宋体"/>
          <w:bCs/>
          <w:snapToGrid w:val="0"/>
          <w:sz w:val="28"/>
          <w:highlight w:val="white"/>
        </w:rPr>
        <w:t>7、投标文件的编制</w:t>
      </w:r>
    </w:p>
    <w:p>
      <w:pPr>
        <w:tabs>
          <w:tab w:val="left" w:pos="-1418"/>
          <w:tab w:val="left" w:pos="0"/>
        </w:tabs>
        <w:adjustRightInd w:val="0"/>
        <w:snapToGrid w:val="0"/>
        <w:spacing w:line="440" w:lineRule="exact"/>
        <w:ind w:firstLine="560"/>
        <w:rPr>
          <w:rFonts w:ascii="宋体" w:hAnsi="宋体"/>
          <w:bCs/>
          <w:snapToGrid w:val="0"/>
          <w:sz w:val="28"/>
        </w:rPr>
      </w:pPr>
      <w:r>
        <w:rPr>
          <w:rFonts w:hint="eastAsia" w:ascii="宋体" w:hAnsi="宋体"/>
          <w:bCs/>
          <w:snapToGrid w:val="0"/>
          <w:sz w:val="28"/>
          <w:highlight w:val="white"/>
        </w:rPr>
        <w:t>7.1投标文件应按 “投标文件格式”进行编写。</w:t>
      </w:r>
    </w:p>
    <w:p>
      <w:pPr>
        <w:tabs>
          <w:tab w:val="left" w:pos="-1418"/>
          <w:tab w:val="left" w:pos="0"/>
        </w:tabs>
        <w:adjustRightInd w:val="0"/>
        <w:snapToGrid w:val="0"/>
        <w:spacing w:line="440" w:lineRule="exact"/>
        <w:ind w:firstLine="560"/>
        <w:rPr>
          <w:rFonts w:ascii="宋体" w:hAnsi="宋体"/>
          <w:bCs/>
          <w:snapToGrid w:val="0"/>
          <w:sz w:val="28"/>
        </w:rPr>
      </w:pPr>
      <w:r>
        <w:rPr>
          <w:rFonts w:hint="eastAsia" w:ascii="宋体" w:hAnsi="宋体"/>
          <w:bCs/>
          <w:snapToGrid w:val="0"/>
          <w:sz w:val="28"/>
          <w:highlight w:val="white"/>
        </w:rPr>
        <w:t>7.2投标文件应当对招标文件有关工期、投标有效期、质量要求、技术标准和要求、招标范围等实质性内容作出响应。</w:t>
      </w:r>
    </w:p>
    <w:p>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hint="eastAsia" w:ascii="宋体" w:hAnsi="宋体"/>
          <w:bCs/>
          <w:snapToGrid w:val="0"/>
          <w:spacing w:val="-20"/>
          <w:sz w:val="28"/>
          <w:szCs w:val="28"/>
          <w:highlight w:val="white"/>
        </w:rPr>
        <w:t>7.3</w:t>
      </w:r>
      <w:r>
        <w:rPr>
          <w:rFonts w:hint="eastAsia" w:ascii="宋体" w:hAnsi="宋体"/>
          <w:bCs/>
          <w:snapToGrid w:val="0"/>
          <w:sz w:val="28"/>
          <w:highlight w:val="white"/>
        </w:rPr>
        <w:t>投标文件应包括：</w:t>
      </w:r>
      <w:r>
        <w:rPr>
          <w:rFonts w:hint="eastAsia" w:ascii="宋体" w:hAnsi="宋体"/>
          <w:bCs/>
          <w:snapToGrid w:val="0"/>
          <w:color w:val="FF0000"/>
          <w:sz w:val="28"/>
          <w:highlight w:val="white"/>
        </w:rPr>
        <w:t>投标报价函、授权委托书（如有）、营业执照、施工方案等。</w:t>
      </w:r>
    </w:p>
    <w:p>
      <w:pPr>
        <w:spacing w:line="360" w:lineRule="auto"/>
        <w:jc w:val="left"/>
        <w:rPr>
          <w:b/>
          <w:sz w:val="24"/>
          <w:szCs w:val="24"/>
        </w:rPr>
      </w:pPr>
    </w:p>
    <w:p>
      <w:pPr>
        <w:spacing w:line="360" w:lineRule="auto"/>
        <w:jc w:val="left"/>
        <w:rPr>
          <w:b/>
          <w:sz w:val="24"/>
          <w:szCs w:val="24"/>
        </w:rPr>
      </w:pPr>
      <w:r>
        <w:rPr>
          <w:rFonts w:hint="eastAsia" w:ascii="宋体" w:hAnsi="宋体"/>
          <w:b/>
          <w:sz w:val="32"/>
          <w:szCs w:val="32"/>
          <w:highlight w:val="white"/>
          <w:lang w:eastAsia="zh-CN"/>
        </w:rPr>
        <w:t>五</w:t>
      </w:r>
      <w:r>
        <w:rPr>
          <w:rFonts w:hint="eastAsia" w:ascii="宋体" w:hAnsi="宋体"/>
          <w:b/>
          <w:sz w:val="32"/>
          <w:szCs w:val="32"/>
          <w:highlight w:val="white"/>
        </w:rPr>
        <w:t>、投  标  报  价</w:t>
      </w:r>
    </w:p>
    <w:p>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hint="eastAsia" w:ascii="宋体" w:hAnsi="宋体"/>
          <w:sz w:val="28"/>
          <w:highlight w:val="white"/>
          <w:lang w:val="en-US" w:eastAsia="zh-CN"/>
        </w:rPr>
        <w:t>8</w:t>
      </w:r>
      <w:r>
        <w:rPr>
          <w:rFonts w:hint="eastAsia" w:ascii="宋体" w:hAnsi="宋体"/>
          <w:sz w:val="28"/>
          <w:highlight w:val="white"/>
        </w:rPr>
        <w:t>、投标报价</w:t>
      </w:r>
      <w:r>
        <w:rPr>
          <w:rFonts w:ascii="宋体" w:hAnsi="宋体"/>
          <w:sz w:val="28"/>
          <w:highlight w:val="white"/>
        </w:rPr>
        <w:t xml:space="preserve"> </w:t>
      </w:r>
    </w:p>
    <w:p>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hint="eastAsia" w:ascii="宋体" w:hAnsi="宋体"/>
          <w:b/>
          <w:bCs/>
          <w:snapToGrid w:val="0"/>
          <w:sz w:val="28"/>
          <w:highlight w:val="white"/>
        </w:rPr>
        <w:t>投标人的报价高于招标最高限价的，其投标文件无效。</w:t>
      </w:r>
    </w:p>
    <w:p>
      <w:pPr>
        <w:tabs>
          <w:tab w:val="left" w:pos="0"/>
          <w:tab w:val="left" w:pos="993"/>
          <w:tab w:val="left" w:pos="1134"/>
        </w:tabs>
        <w:adjustRightInd w:val="0"/>
        <w:snapToGrid w:val="0"/>
        <w:spacing w:line="440" w:lineRule="exact"/>
        <w:ind w:firstLine="560"/>
        <w:rPr>
          <w:rFonts w:ascii="宋体" w:hAnsi="宋体"/>
          <w:sz w:val="28"/>
        </w:rPr>
      </w:pPr>
      <w:r>
        <w:rPr>
          <w:rFonts w:hint="eastAsia" w:ascii="宋体" w:hAnsi="宋体"/>
          <w:sz w:val="28"/>
          <w:highlight w:val="white"/>
          <w:lang w:val="en-US" w:eastAsia="zh-CN"/>
        </w:rPr>
        <w:t>8</w:t>
      </w:r>
      <w:r>
        <w:rPr>
          <w:rFonts w:hint="eastAsia" w:ascii="宋体" w:hAnsi="宋体"/>
          <w:sz w:val="28"/>
          <w:highlight w:val="white"/>
        </w:rPr>
        <w:t>.1</w:t>
      </w:r>
      <w:r>
        <w:rPr>
          <w:rFonts w:ascii="宋体" w:hAnsi="宋体"/>
          <w:sz w:val="28"/>
          <w:highlight w:val="white"/>
        </w:rPr>
        <w:t>投标报价方式</w:t>
      </w:r>
      <w:bookmarkEnd w:id="2"/>
      <w:bookmarkEnd w:id="3"/>
    </w:p>
    <w:p>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hint="eastAsia" w:ascii="宋体" w:hAnsi="宋体"/>
          <w:sz w:val="28"/>
          <w:highlight w:val="white"/>
        </w:rPr>
        <w:t>让利报价。投标人报价时应充分考虑施工期间各类建材的市场风险和国家政策风险系数。</w:t>
      </w:r>
    </w:p>
    <w:p>
      <w:pPr>
        <w:tabs>
          <w:tab w:val="left" w:pos="0"/>
          <w:tab w:val="left" w:pos="993"/>
          <w:tab w:val="left" w:pos="1134"/>
        </w:tabs>
        <w:adjustRightInd w:val="0"/>
        <w:snapToGrid w:val="0"/>
        <w:spacing w:line="440" w:lineRule="exact"/>
        <w:ind w:firstLine="560" w:firstLineChars="200"/>
        <w:rPr>
          <w:rFonts w:ascii="宋体" w:hAnsi="宋体"/>
          <w:sz w:val="28"/>
          <w:highlight w:val="white"/>
        </w:rPr>
      </w:pPr>
      <w:r>
        <w:rPr>
          <w:rFonts w:hint="eastAsia" w:ascii="宋体" w:hAnsi="宋体"/>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61518382"/>
      <w:bookmarkStart w:id="5" w:name="_Toc243811908"/>
      <w:r>
        <w:rPr>
          <w:rFonts w:hint="eastAsia" w:ascii="宋体" w:hAnsi="宋体"/>
          <w:sz w:val="28"/>
          <w:highlight w:val="white"/>
          <w:lang w:val="en-US" w:eastAsia="zh-CN"/>
        </w:rPr>
        <w:t>8</w:t>
      </w:r>
      <w:r>
        <w:rPr>
          <w:rFonts w:hint="eastAsia" w:ascii="宋体" w:hAnsi="宋体"/>
          <w:sz w:val="28"/>
          <w:highlight w:val="white"/>
        </w:rPr>
        <w:t>.2</w:t>
      </w:r>
      <w:r>
        <w:rPr>
          <w:rFonts w:ascii="宋体" w:hAnsi="宋体"/>
          <w:sz w:val="28"/>
          <w:highlight w:val="white"/>
        </w:rPr>
        <w:t xml:space="preserve"> 投标报价</w:t>
      </w:r>
      <w:bookmarkEnd w:id="4"/>
      <w:bookmarkEnd w:id="5"/>
      <w:r>
        <w:rPr>
          <w:rFonts w:hint="eastAsia" w:ascii="宋体" w:hAnsi="宋体"/>
          <w:sz w:val="28"/>
          <w:highlight w:val="white"/>
        </w:rPr>
        <w:t>要求</w:t>
      </w:r>
    </w:p>
    <w:p>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hint="eastAsia" w:ascii="宋体" w:hAnsi="宋体"/>
          <w:snapToGrid w:val="0"/>
          <w:color w:val="FF0000"/>
          <w:sz w:val="28"/>
          <w:highlight w:val="white"/>
        </w:rPr>
        <w:t>所有投标报价以</w:t>
      </w:r>
      <w:r>
        <w:rPr>
          <w:rFonts w:hint="eastAsia" w:ascii="宋体" w:hAnsi="宋体"/>
          <w:snapToGrid w:val="0"/>
          <w:color w:val="FF0000"/>
          <w:sz w:val="28"/>
          <w:highlight w:val="white"/>
          <w:u w:val="single"/>
        </w:rPr>
        <w:t xml:space="preserve">  </w:t>
      </w:r>
      <w:r>
        <w:rPr>
          <w:rFonts w:hint="eastAsia" w:ascii="宋体" w:hAnsi="宋体"/>
          <w:snapToGrid w:val="0"/>
          <w:color w:val="FF0000"/>
          <w:sz w:val="28"/>
          <w:highlight w:val="white"/>
        </w:rPr>
        <w:t>%让利表示</w:t>
      </w:r>
      <w:r>
        <w:rPr>
          <w:rFonts w:hint="eastAsia" w:ascii="宋体" w:hAnsi="宋体"/>
          <w:snapToGrid w:val="0"/>
          <w:sz w:val="28"/>
          <w:highlight w:val="white"/>
        </w:rPr>
        <w:t>。</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lang w:val="en-US" w:eastAsia="zh-CN"/>
        </w:rPr>
        <w:t>9</w:t>
      </w:r>
      <w:r>
        <w:rPr>
          <w:rFonts w:hint="eastAsia" w:ascii="宋体" w:hAnsi="宋体"/>
          <w:snapToGrid w:val="0"/>
          <w:sz w:val="28"/>
          <w:highlight w:val="white"/>
        </w:rPr>
        <w:t xml:space="preserve">、勘察现场 </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lang w:val="en-US" w:eastAsia="zh-CN"/>
        </w:rPr>
        <w:t>9</w:t>
      </w:r>
      <w:r>
        <w:rPr>
          <w:rFonts w:hint="eastAsia" w:ascii="宋体" w:hAnsi="宋体"/>
          <w:snapToGrid w:val="0"/>
          <w:sz w:val="28"/>
          <w:highlight w:val="white"/>
        </w:rPr>
        <w:t>.1考虑到本工程实际情况，投标人应对工程施工现场场地条件和周围环境进行勘察，勘察现场所发生的费用由投标人承担。</w:t>
      </w:r>
    </w:p>
    <w:p>
      <w:pPr>
        <w:tabs>
          <w:tab w:val="left" w:pos="0"/>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lang w:val="en-US" w:eastAsia="zh-CN"/>
        </w:rPr>
        <w:t>9</w:t>
      </w:r>
      <w:r>
        <w:rPr>
          <w:rFonts w:hint="eastAsia" w:ascii="宋体" w:hAnsi="宋体"/>
          <w:snapToGrid w:val="0"/>
          <w:sz w:val="28"/>
          <w:highlight w:val="white"/>
        </w:rPr>
        <w:t>.2投标人到现场实地勘踏，应充分了解工地位置、情况、道路、储存空间、装卸限制、相关专业施工队伍的配合与衔接及任何其他。</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lang w:val="en-US" w:eastAsia="zh-CN"/>
        </w:rPr>
        <w:t>10</w:t>
      </w:r>
      <w:r>
        <w:rPr>
          <w:rFonts w:hint="eastAsia" w:ascii="宋体" w:hAnsi="宋体"/>
          <w:snapToGrid w:val="0"/>
          <w:sz w:val="28"/>
          <w:highlight w:val="white"/>
        </w:rPr>
        <w:t>、投标有效期</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lang w:val="en-US" w:eastAsia="zh-CN"/>
        </w:rPr>
        <w:t>10</w:t>
      </w:r>
      <w:r>
        <w:rPr>
          <w:rFonts w:hint="eastAsia" w:ascii="宋体" w:hAnsi="宋体"/>
          <w:snapToGrid w:val="0"/>
          <w:sz w:val="28"/>
          <w:highlight w:val="white"/>
        </w:rPr>
        <w:t>.1在投标人须知前附表规定的投标有效期内，投标人不得要求撤销或修改其投标文件。</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w:t>
      </w:r>
      <w:r>
        <w:rPr>
          <w:rFonts w:hint="eastAsia" w:ascii="宋体" w:hAnsi="宋体"/>
          <w:snapToGrid w:val="0"/>
          <w:sz w:val="28"/>
          <w:highlight w:val="white"/>
          <w:lang w:val="en-US" w:eastAsia="zh-CN"/>
        </w:rPr>
        <w:t>0</w:t>
      </w:r>
      <w:r>
        <w:rPr>
          <w:rFonts w:hint="eastAsia" w:ascii="宋体" w:hAnsi="宋体"/>
          <w:snapToGrid w:val="0"/>
          <w:sz w:val="28"/>
          <w:highlight w:val="white"/>
        </w:rPr>
        <w:t xml:space="preserve">.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tabs>
          <w:tab w:val="left" w:pos="0"/>
        </w:tabs>
        <w:adjustRightInd w:val="0"/>
        <w:snapToGrid w:val="0"/>
        <w:spacing w:line="440" w:lineRule="exact"/>
        <w:ind w:firstLine="560"/>
        <w:rPr>
          <w:rFonts w:ascii="宋体" w:hAnsi="宋体"/>
          <w:snapToGrid w:val="0"/>
          <w:sz w:val="28"/>
          <w:highlight w:val="white"/>
        </w:rPr>
      </w:pPr>
    </w:p>
    <w:p>
      <w:pPr>
        <w:spacing w:line="440" w:lineRule="exact"/>
        <w:rPr>
          <w:rFonts w:ascii="宋体" w:hAnsi="宋体"/>
          <w:b/>
          <w:sz w:val="32"/>
          <w:szCs w:val="32"/>
          <w:highlight w:val="white"/>
        </w:rPr>
      </w:pPr>
      <w:r>
        <w:rPr>
          <w:rFonts w:hint="eastAsia" w:ascii="宋体" w:hAnsi="宋体"/>
          <w:b/>
          <w:sz w:val="32"/>
          <w:szCs w:val="32"/>
          <w:highlight w:val="white"/>
          <w:lang w:eastAsia="zh-CN"/>
        </w:rPr>
        <w:t>六</w:t>
      </w:r>
      <w:r>
        <w:rPr>
          <w:rFonts w:hint="eastAsia" w:ascii="宋体" w:hAnsi="宋体"/>
          <w:b/>
          <w:sz w:val="32"/>
          <w:szCs w:val="32"/>
          <w:highlight w:val="white"/>
        </w:rPr>
        <w:t>、投标文件的密封与递交</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w:t>
      </w:r>
      <w:r>
        <w:rPr>
          <w:rFonts w:hint="eastAsia" w:ascii="宋体" w:hAnsi="宋体"/>
          <w:snapToGrid w:val="0"/>
          <w:sz w:val="28"/>
          <w:highlight w:val="white"/>
          <w:lang w:val="en-US" w:eastAsia="zh-CN"/>
        </w:rPr>
        <w:t>1</w:t>
      </w:r>
      <w:r>
        <w:rPr>
          <w:rFonts w:hint="eastAsia" w:ascii="宋体" w:hAnsi="宋体"/>
          <w:snapToGrid w:val="0"/>
          <w:sz w:val="28"/>
          <w:highlight w:val="white"/>
        </w:rPr>
        <w:t>、投标文件的份数和签署</w:t>
      </w:r>
    </w:p>
    <w:p>
      <w:pPr>
        <w:tabs>
          <w:tab w:val="left" w:pos="-426"/>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投标文件应使用不能擦去的墨水书写或打印，由投标人加盖法人公章和法定代表人或法定代表人委托的代理人印鉴或签字。</w:t>
      </w:r>
    </w:p>
    <w:p>
      <w:pPr>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w:t>
      </w:r>
      <w:r>
        <w:rPr>
          <w:rFonts w:hint="eastAsia" w:ascii="宋体" w:hAnsi="宋体"/>
          <w:snapToGrid w:val="0"/>
          <w:sz w:val="28"/>
          <w:highlight w:val="white"/>
          <w:lang w:val="en-US" w:eastAsia="zh-CN"/>
        </w:rPr>
        <w:t>2</w:t>
      </w:r>
      <w:r>
        <w:rPr>
          <w:rFonts w:hint="eastAsia" w:ascii="宋体" w:hAnsi="宋体"/>
          <w:snapToGrid w:val="0"/>
          <w:sz w:val="28"/>
          <w:highlight w:val="white"/>
        </w:rPr>
        <w:t>、投标文件的密</w:t>
      </w:r>
      <w:r>
        <w:rPr>
          <w:rFonts w:hint="eastAsia" w:ascii="宋体" w:hAnsi="宋体"/>
          <w:snapToGrid w:val="0"/>
          <w:sz w:val="28"/>
          <w:szCs w:val="28"/>
          <w:highlight w:val="white"/>
        </w:rPr>
        <w:t>封与</w:t>
      </w:r>
      <w:r>
        <w:rPr>
          <w:rFonts w:hint="eastAsia" w:ascii="宋体" w:hAnsi="宋体"/>
          <w:snapToGrid w:val="0"/>
          <w:sz w:val="28"/>
          <w:highlight w:val="white"/>
        </w:rPr>
        <w:t>标志</w:t>
      </w:r>
    </w:p>
    <w:p>
      <w:pPr>
        <w:tabs>
          <w:tab w:val="left" w:pos="-426"/>
          <w:tab w:val="left" w:pos="0"/>
        </w:tabs>
        <w:adjustRightInd w:val="0"/>
        <w:snapToGrid w:val="0"/>
        <w:spacing w:line="440" w:lineRule="exact"/>
        <w:ind w:firstLine="560"/>
        <w:rPr>
          <w:rFonts w:ascii="宋体" w:hAnsi="宋体"/>
          <w:b/>
          <w:snapToGrid w:val="0"/>
          <w:sz w:val="28"/>
          <w:highlight w:val="white"/>
        </w:rPr>
      </w:pPr>
      <w:r>
        <w:rPr>
          <w:rFonts w:hint="eastAsia" w:ascii="宋体" w:hAnsi="宋体"/>
          <w:b/>
          <w:snapToGrid w:val="0"/>
          <w:sz w:val="28"/>
          <w:highlight w:val="white"/>
        </w:rPr>
        <w:t>所有封袋上都应写明招标人名称、工程项目名称、投标人名称、卷别；</w:t>
      </w:r>
    </w:p>
    <w:p>
      <w:pPr>
        <w:tabs>
          <w:tab w:val="left" w:pos="-426"/>
          <w:tab w:val="left" w:pos="0"/>
        </w:tabs>
        <w:adjustRightInd w:val="0"/>
        <w:snapToGrid w:val="0"/>
        <w:spacing w:line="440" w:lineRule="exact"/>
        <w:ind w:firstLine="560"/>
        <w:rPr>
          <w:rFonts w:ascii="宋体" w:hAnsi="宋体"/>
          <w:b/>
          <w:snapToGrid w:val="0"/>
          <w:sz w:val="28"/>
          <w:highlight w:val="white"/>
        </w:rPr>
      </w:pPr>
      <w:r>
        <w:rPr>
          <w:rFonts w:hint="eastAsia" w:ascii="宋体" w:hAnsi="宋体"/>
          <w:b/>
          <w:snapToGrid w:val="0"/>
          <w:sz w:val="28"/>
          <w:highlight w:val="white"/>
        </w:rPr>
        <w:t>所有投标文件都必须在封袋上加盖投标单位法人公章及其法定代表人或授权委托人的印鉴。</w:t>
      </w:r>
    </w:p>
    <w:p>
      <w:pPr>
        <w:tabs>
          <w:tab w:val="left" w:pos="0"/>
          <w:tab w:val="left" w:pos="993"/>
          <w:tab w:val="left" w:pos="1134"/>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w:t>
      </w:r>
      <w:r>
        <w:rPr>
          <w:rFonts w:hint="eastAsia" w:ascii="宋体" w:hAnsi="宋体"/>
          <w:snapToGrid w:val="0"/>
          <w:sz w:val="28"/>
          <w:highlight w:val="white"/>
          <w:lang w:val="en-US" w:eastAsia="zh-CN"/>
        </w:rPr>
        <w:t>3</w:t>
      </w:r>
      <w:r>
        <w:rPr>
          <w:rFonts w:hint="eastAsia" w:ascii="宋体" w:hAnsi="宋体"/>
          <w:snapToGrid w:val="0"/>
          <w:sz w:val="28"/>
          <w:highlight w:val="white"/>
        </w:rPr>
        <w:t>、投标截止期</w:t>
      </w:r>
    </w:p>
    <w:p>
      <w:pPr>
        <w:tabs>
          <w:tab w:val="left" w:pos="0"/>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w:t>
      </w:r>
      <w:r>
        <w:rPr>
          <w:rFonts w:hint="eastAsia" w:ascii="宋体" w:hAnsi="宋体"/>
          <w:snapToGrid w:val="0"/>
          <w:sz w:val="28"/>
          <w:highlight w:val="white"/>
          <w:lang w:val="en-US" w:eastAsia="zh-CN"/>
        </w:rPr>
        <w:t>3</w:t>
      </w:r>
      <w:r>
        <w:rPr>
          <w:rFonts w:hint="eastAsia" w:ascii="宋体" w:hAnsi="宋体"/>
          <w:snapToGrid w:val="0"/>
          <w:sz w:val="28"/>
          <w:highlight w:val="white"/>
        </w:rPr>
        <w:t>.1投标人应在投标须知中规定的时间之前将投标文件递交到招标文件前附表指定地点。</w:t>
      </w:r>
    </w:p>
    <w:p>
      <w:pPr>
        <w:tabs>
          <w:tab w:val="left" w:pos="0"/>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w:t>
      </w:r>
      <w:r>
        <w:rPr>
          <w:rFonts w:hint="eastAsia" w:ascii="宋体" w:hAnsi="宋体"/>
          <w:snapToGrid w:val="0"/>
          <w:sz w:val="28"/>
          <w:highlight w:val="white"/>
          <w:lang w:val="en-US" w:eastAsia="zh-CN"/>
        </w:rPr>
        <w:t>3</w:t>
      </w:r>
      <w:r>
        <w:rPr>
          <w:rFonts w:hint="eastAsia" w:ascii="宋体" w:hAnsi="宋体"/>
          <w:snapToGrid w:val="0"/>
          <w:sz w:val="28"/>
          <w:highlight w:val="white"/>
        </w:rPr>
        <w:t>.2招标人可以按本文件规定以修改通知的方式，延长递交投标文件的截止日期。在上述情况下，招标人与投标人以前的在投标截止期方面的全部权力、责任和义务，将适用于延长后新的投标截止期。</w:t>
      </w:r>
    </w:p>
    <w:p>
      <w:pPr>
        <w:tabs>
          <w:tab w:val="left" w:pos="0"/>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w:t>
      </w:r>
      <w:r>
        <w:rPr>
          <w:rFonts w:hint="eastAsia" w:ascii="宋体" w:hAnsi="宋体"/>
          <w:snapToGrid w:val="0"/>
          <w:sz w:val="28"/>
          <w:highlight w:val="white"/>
          <w:lang w:val="en-US" w:eastAsia="zh-CN"/>
        </w:rPr>
        <w:t>4</w:t>
      </w:r>
      <w:r>
        <w:rPr>
          <w:rFonts w:hint="eastAsia" w:ascii="宋体" w:hAnsi="宋体"/>
          <w:snapToGrid w:val="0"/>
          <w:sz w:val="28"/>
          <w:highlight w:val="white"/>
        </w:rPr>
        <w:t>、投标文件的修改与撤回</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w:t>
      </w:r>
      <w:r>
        <w:rPr>
          <w:rFonts w:hint="eastAsia" w:ascii="宋体" w:hAnsi="宋体"/>
          <w:snapToGrid w:val="0"/>
          <w:sz w:val="28"/>
          <w:highlight w:val="white"/>
          <w:lang w:val="en-US" w:eastAsia="zh-CN"/>
        </w:rPr>
        <w:t>4</w:t>
      </w:r>
      <w:r>
        <w:rPr>
          <w:rFonts w:hint="eastAsia" w:ascii="宋体" w:hAnsi="宋体"/>
          <w:snapToGrid w:val="0"/>
          <w:sz w:val="28"/>
          <w:highlight w:val="white"/>
        </w:rPr>
        <w:t>.1投标人可以在递交投标文件以后，在规定的投标截止期之前，以书面形式向招标人递交修改或撤回其投标文件的通知。在投标截止期以后，不得更改、撤回投标文件。</w:t>
      </w:r>
    </w:p>
    <w:p>
      <w:pPr>
        <w:tabs>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w:t>
      </w:r>
      <w:r>
        <w:rPr>
          <w:rFonts w:hint="eastAsia" w:ascii="宋体" w:hAnsi="宋体"/>
          <w:snapToGrid w:val="0"/>
          <w:sz w:val="28"/>
          <w:highlight w:val="white"/>
          <w:lang w:val="en-US" w:eastAsia="zh-CN"/>
        </w:rPr>
        <w:t>4</w:t>
      </w:r>
      <w:r>
        <w:rPr>
          <w:rFonts w:hint="eastAsia" w:ascii="宋体" w:hAnsi="宋体"/>
          <w:snapToGrid w:val="0"/>
          <w:sz w:val="28"/>
          <w:highlight w:val="white"/>
        </w:rPr>
        <w:t>.2投标文件的修改应按本文件相关条款规定的要求编制、密封、标志和递交（密封袋上应标明“修改”字样）。</w:t>
      </w:r>
    </w:p>
    <w:p>
      <w:pPr>
        <w:tabs>
          <w:tab w:val="left" w:pos="0"/>
        </w:tabs>
        <w:adjustRightInd w:val="0"/>
        <w:snapToGrid w:val="0"/>
        <w:spacing w:line="440" w:lineRule="exact"/>
        <w:ind w:firstLine="520"/>
        <w:rPr>
          <w:rFonts w:ascii="宋体" w:hAnsi="宋体"/>
          <w:snapToGrid w:val="0"/>
          <w:color w:val="000080"/>
          <w:sz w:val="20"/>
          <w:szCs w:val="28"/>
        </w:rPr>
      </w:pPr>
      <w:r>
        <w:rPr>
          <w:rFonts w:hint="eastAsia" w:ascii="宋体" w:hAnsi="宋体"/>
          <w:snapToGrid w:val="0"/>
          <w:spacing w:val="-20"/>
          <w:sz w:val="28"/>
          <w:highlight w:val="white"/>
        </w:rPr>
        <w:t>1</w:t>
      </w:r>
      <w:r>
        <w:rPr>
          <w:rFonts w:hint="eastAsia" w:ascii="宋体" w:hAnsi="宋体"/>
          <w:snapToGrid w:val="0"/>
          <w:spacing w:val="-20"/>
          <w:sz w:val="28"/>
          <w:highlight w:val="white"/>
          <w:lang w:val="en-US" w:eastAsia="zh-CN"/>
        </w:rPr>
        <w:t>4.</w:t>
      </w:r>
      <w:r>
        <w:rPr>
          <w:rFonts w:hint="eastAsia" w:ascii="宋体" w:hAnsi="宋体"/>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End w:id="6"/>
      <w:bookmarkStart w:id="7" w:name="EB0f01764a82a04f44abcb858eaf46c6a5"/>
      <w:r>
        <w:rPr>
          <w:rFonts w:ascii="宋体" w:hAnsi="宋体"/>
          <w:snapToGrid w:val="0"/>
          <w:color w:val="000080"/>
          <w:sz w:val="20"/>
          <w:szCs w:val="28"/>
          <w:highlight w:val="white"/>
        </w:rPr>
        <w:t xml:space="preserve"> </w:t>
      </w:r>
      <w:bookmarkEnd w:id="7"/>
      <w:bookmarkStart w:id="8" w:name="EBa793852fcb4d42ce9e567dfd1411b872"/>
      <w:r>
        <w:rPr>
          <w:rFonts w:ascii="宋体" w:hAnsi="宋体"/>
          <w:snapToGrid w:val="0"/>
          <w:color w:val="000080"/>
          <w:sz w:val="20"/>
          <w:szCs w:val="28"/>
          <w:highlight w:val="white"/>
        </w:rPr>
        <w:t xml:space="preserve"> </w:t>
      </w:r>
      <w:bookmarkEnd w:id="8"/>
    </w:p>
    <w:p>
      <w:pPr>
        <w:spacing w:line="440" w:lineRule="exact"/>
        <w:rPr>
          <w:rFonts w:ascii="宋体" w:hAnsi="宋体"/>
          <w:b/>
          <w:sz w:val="32"/>
          <w:szCs w:val="32"/>
          <w:highlight w:val="white"/>
        </w:rPr>
      </w:pPr>
      <w:r>
        <w:rPr>
          <w:rFonts w:hint="eastAsia" w:ascii="宋体" w:hAnsi="宋体"/>
          <w:b/>
          <w:sz w:val="32"/>
          <w:szCs w:val="32"/>
          <w:highlight w:val="white"/>
        </w:rPr>
        <w:t>七、开标</w:t>
      </w:r>
    </w:p>
    <w:p>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w:t>
      </w:r>
      <w:r>
        <w:rPr>
          <w:rFonts w:hint="eastAsia" w:ascii="宋体" w:hAnsi="宋体"/>
          <w:snapToGrid w:val="0"/>
          <w:sz w:val="28"/>
          <w:highlight w:val="white"/>
          <w:lang w:val="en-US" w:eastAsia="zh-CN"/>
        </w:rPr>
        <w:t>5</w:t>
      </w:r>
      <w:r>
        <w:rPr>
          <w:rFonts w:hint="eastAsia" w:ascii="宋体" w:hAnsi="宋体"/>
          <w:snapToGrid w:val="0"/>
          <w:sz w:val="28"/>
          <w:highlight w:val="white"/>
        </w:rPr>
        <w:t>、开标</w:t>
      </w:r>
    </w:p>
    <w:p>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1</w:t>
      </w:r>
      <w:r>
        <w:rPr>
          <w:rFonts w:hint="eastAsia" w:ascii="宋体" w:hAnsi="宋体"/>
          <w:snapToGrid w:val="0"/>
          <w:sz w:val="28"/>
          <w:highlight w:val="white"/>
          <w:lang w:val="en-US" w:eastAsia="zh-CN"/>
        </w:rPr>
        <w:t>5</w:t>
      </w:r>
      <w:r>
        <w:rPr>
          <w:rFonts w:hint="eastAsia" w:ascii="宋体" w:hAnsi="宋体"/>
          <w:snapToGrid w:val="0"/>
          <w:sz w:val="28"/>
          <w:highlight w:val="white"/>
        </w:rPr>
        <w:t>.1 招标人将按投标须知前附表的时间和地点举行开标会议。</w:t>
      </w:r>
    </w:p>
    <w:p>
      <w:pPr>
        <w:tabs>
          <w:tab w:val="left" w:pos="-1701"/>
          <w:tab w:val="left" w:pos="0"/>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w:t>
      </w:r>
      <w:r>
        <w:rPr>
          <w:rFonts w:hint="eastAsia" w:ascii="宋体" w:hAnsi="宋体"/>
          <w:snapToGrid w:val="0"/>
          <w:sz w:val="28"/>
          <w:highlight w:val="white"/>
          <w:lang w:val="en-US" w:eastAsia="zh-CN"/>
        </w:rPr>
        <w:t>5</w:t>
      </w:r>
      <w:r>
        <w:rPr>
          <w:rFonts w:hint="eastAsia" w:ascii="宋体" w:hAnsi="宋体"/>
          <w:snapToGrid w:val="0"/>
          <w:sz w:val="28"/>
          <w:highlight w:val="white"/>
        </w:rPr>
        <w:t>.2开标程序：</w:t>
      </w:r>
    </w:p>
    <w:p>
      <w:pPr>
        <w:spacing w:line="440" w:lineRule="exact"/>
        <w:ind w:firstLine="479"/>
        <w:rPr>
          <w:rFonts w:ascii="宋体" w:hAnsi="宋体"/>
          <w:snapToGrid w:val="0"/>
          <w:sz w:val="28"/>
          <w:highlight w:val="white"/>
        </w:rPr>
      </w:pPr>
      <w:r>
        <w:rPr>
          <w:rFonts w:hint="eastAsia" w:ascii="宋体" w:hAnsi="宋体"/>
          <w:snapToGrid w:val="0"/>
          <w:sz w:val="28"/>
          <w:highlight w:val="white"/>
        </w:rPr>
        <w:t>（1）宣布开标纪律；</w:t>
      </w:r>
    </w:p>
    <w:p>
      <w:pPr>
        <w:spacing w:line="440" w:lineRule="exact"/>
        <w:ind w:firstLine="479"/>
        <w:rPr>
          <w:rFonts w:ascii="宋体" w:hAnsi="宋体"/>
          <w:snapToGrid w:val="0"/>
          <w:sz w:val="28"/>
          <w:highlight w:val="white"/>
        </w:rPr>
      </w:pPr>
      <w:r>
        <w:rPr>
          <w:rFonts w:hint="eastAsia" w:ascii="宋体" w:hAnsi="宋体"/>
          <w:snapToGrid w:val="0"/>
          <w:sz w:val="28"/>
          <w:highlight w:val="white"/>
        </w:rPr>
        <w:t>（2）按照投标人须知前附表规定检查投标文件的密封情况；</w:t>
      </w:r>
    </w:p>
    <w:p>
      <w:pPr>
        <w:spacing w:line="440" w:lineRule="exact"/>
        <w:ind w:firstLine="479"/>
        <w:rPr>
          <w:rFonts w:ascii="宋体" w:hAnsi="宋体"/>
          <w:snapToGrid w:val="0"/>
          <w:sz w:val="28"/>
          <w:highlight w:val="white"/>
        </w:rPr>
      </w:pPr>
      <w:r>
        <w:rPr>
          <w:rFonts w:hint="eastAsia" w:ascii="宋体" w:hAnsi="宋体"/>
          <w:snapToGrid w:val="0"/>
          <w:sz w:val="28"/>
          <w:highlight w:val="white"/>
        </w:rPr>
        <w:t>（3）公布投标人名称、标段名称、投标保证金的递交情况、投标报价、质量目标、工期及其他内容，并记录在案；</w:t>
      </w:r>
    </w:p>
    <w:p>
      <w:pPr>
        <w:spacing w:line="440" w:lineRule="exact"/>
        <w:ind w:firstLine="479"/>
        <w:rPr>
          <w:rFonts w:ascii="宋体" w:hAnsi="宋体"/>
          <w:snapToGrid w:val="0"/>
          <w:color w:val="000080"/>
          <w:sz w:val="20"/>
        </w:rPr>
      </w:pPr>
      <w:r>
        <w:rPr>
          <w:rFonts w:hint="eastAsia" w:ascii="宋体" w:hAnsi="宋体"/>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End w:id="9"/>
      <w:bookmarkStart w:id="10" w:name="EB12759f0d635e470dbe8d9ef589ab9516"/>
      <w:r>
        <w:rPr>
          <w:rFonts w:ascii="宋体" w:hAnsi="宋体"/>
          <w:snapToGrid w:val="0"/>
          <w:color w:val="000080"/>
          <w:sz w:val="20"/>
          <w:highlight w:val="white"/>
        </w:rPr>
        <w:t xml:space="preserve"> </w:t>
      </w:r>
      <w:bookmarkEnd w:id="10"/>
      <w:bookmarkStart w:id="11" w:name="EBaf5f94c076e34861a13e80ed5a735153"/>
      <w:r>
        <w:rPr>
          <w:rFonts w:ascii="宋体" w:hAnsi="宋体"/>
          <w:snapToGrid w:val="0"/>
          <w:color w:val="000080"/>
          <w:sz w:val="20"/>
          <w:highlight w:val="white"/>
        </w:rPr>
        <w:t xml:space="preserve"> </w:t>
      </w:r>
      <w:bookmarkEnd w:id="11"/>
    </w:p>
    <w:p>
      <w:pPr>
        <w:spacing w:line="440" w:lineRule="exact"/>
        <w:ind w:firstLine="479"/>
        <w:rPr>
          <w:rFonts w:ascii="宋体" w:hAnsi="宋体"/>
          <w:snapToGrid w:val="0"/>
          <w:sz w:val="28"/>
        </w:rPr>
      </w:pPr>
    </w:p>
    <w:p>
      <w:pPr>
        <w:spacing w:line="440" w:lineRule="exact"/>
        <w:rPr>
          <w:rFonts w:ascii="宋体" w:hAnsi="宋体"/>
          <w:b/>
          <w:sz w:val="32"/>
          <w:szCs w:val="32"/>
          <w:highlight w:val="white"/>
        </w:rPr>
      </w:pPr>
      <w:r>
        <w:rPr>
          <w:rFonts w:hint="eastAsia" w:ascii="宋体" w:hAnsi="宋体"/>
          <w:b/>
          <w:sz w:val="32"/>
          <w:szCs w:val="32"/>
          <w:highlight w:val="white"/>
        </w:rPr>
        <w:t>八、评标与定标</w:t>
      </w:r>
    </w:p>
    <w:p>
      <w:pPr>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1</w:t>
      </w:r>
      <w:r>
        <w:rPr>
          <w:rFonts w:hint="eastAsia" w:ascii="宋体" w:hAnsi="宋体"/>
          <w:snapToGrid w:val="0"/>
          <w:sz w:val="28"/>
          <w:highlight w:val="white"/>
          <w:lang w:val="en-US" w:eastAsia="zh-CN"/>
        </w:rPr>
        <w:t>6</w:t>
      </w:r>
      <w:r>
        <w:rPr>
          <w:rFonts w:hint="eastAsia" w:ascii="宋体" w:hAnsi="宋体"/>
          <w:snapToGrid w:val="0"/>
          <w:sz w:val="28"/>
          <w:highlight w:val="white"/>
        </w:rPr>
        <w:t>、评标</w:t>
      </w:r>
    </w:p>
    <w:p>
      <w:pPr>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tabs>
          <w:tab w:val="left" w:pos="0"/>
          <w:tab w:val="left" w:pos="1134"/>
        </w:tabs>
        <w:adjustRightInd w:val="0"/>
        <w:snapToGrid w:val="0"/>
        <w:spacing w:line="440" w:lineRule="exact"/>
        <w:ind w:firstLine="561"/>
        <w:rPr>
          <w:rFonts w:hint="eastAsia" w:ascii="宋体" w:hAnsi="宋体"/>
          <w:b/>
          <w:snapToGrid w:val="0"/>
          <w:color w:val="000000"/>
          <w:sz w:val="28"/>
          <w:highlight w:val="white"/>
        </w:rPr>
      </w:pPr>
    </w:p>
    <w:p>
      <w:pPr>
        <w:tabs>
          <w:tab w:val="left" w:pos="0"/>
          <w:tab w:val="left" w:pos="1134"/>
        </w:tabs>
        <w:adjustRightInd w:val="0"/>
        <w:snapToGrid w:val="0"/>
        <w:spacing w:line="440" w:lineRule="exact"/>
        <w:ind w:firstLine="561"/>
        <w:rPr>
          <w:rFonts w:ascii="宋体" w:hAnsi="宋体" w:cs="Arial"/>
          <w:b/>
          <w:snapToGrid w:val="0"/>
          <w:color w:val="000000"/>
          <w:sz w:val="28"/>
        </w:rPr>
      </w:pPr>
      <w:r>
        <w:rPr>
          <w:rFonts w:hint="eastAsia" w:ascii="宋体" w:hAnsi="宋体"/>
          <w:b/>
          <w:snapToGrid w:val="0"/>
          <w:color w:val="000000"/>
          <w:sz w:val="28"/>
          <w:highlight w:val="white"/>
        </w:rPr>
        <w:t>17.1</w:t>
      </w:r>
      <w:r>
        <w:rPr>
          <w:rFonts w:hint="eastAsia" w:ascii="宋体" w:hAnsi="宋体" w:cs="Arial"/>
          <w:b/>
          <w:snapToGrid w:val="0"/>
          <w:color w:val="000000"/>
          <w:sz w:val="28"/>
          <w:highlight w:val="white"/>
        </w:rPr>
        <w:t>评标委员会</w:t>
      </w:r>
    </w:p>
    <w:p>
      <w:pPr>
        <w:tabs>
          <w:tab w:val="left" w:pos="0"/>
          <w:tab w:val="left" w:pos="1134"/>
        </w:tabs>
        <w:adjustRightInd w:val="0"/>
        <w:snapToGrid w:val="0"/>
        <w:spacing w:line="440" w:lineRule="exact"/>
        <w:ind w:firstLine="560"/>
        <w:rPr>
          <w:rFonts w:ascii="宋体" w:hAnsi="宋体"/>
          <w:snapToGrid w:val="0"/>
          <w:sz w:val="28"/>
        </w:rPr>
      </w:pPr>
      <w:r>
        <w:rPr>
          <w:rFonts w:hint="eastAsia" w:ascii="宋体" w:hAnsi="宋体"/>
          <w:snapToGrid w:val="0"/>
          <w:sz w:val="28"/>
          <w:highlight w:val="white"/>
        </w:rPr>
        <w:t>评标由招标人依法组建的评标委员会负责。评标委员会由有关技术、经济等方面的专家组成。</w:t>
      </w:r>
    </w:p>
    <w:p>
      <w:pPr>
        <w:adjustRightInd w:val="0"/>
        <w:snapToGrid w:val="0"/>
        <w:spacing w:line="440" w:lineRule="exact"/>
        <w:ind w:firstLine="561"/>
        <w:rPr>
          <w:rFonts w:ascii="宋体" w:hAnsi="宋体" w:cs="Arial"/>
          <w:b/>
          <w:color w:val="000000"/>
          <w:sz w:val="28"/>
          <w:highlight w:val="white"/>
        </w:rPr>
      </w:pPr>
      <w:r>
        <w:rPr>
          <w:rFonts w:hint="eastAsia" w:ascii="宋体" w:hAnsi="宋体"/>
          <w:b/>
          <w:color w:val="000000"/>
          <w:sz w:val="28"/>
          <w:highlight w:val="white"/>
        </w:rPr>
        <w:t>17.2</w:t>
      </w:r>
      <w:r>
        <w:rPr>
          <w:rFonts w:hint="eastAsia" w:ascii="宋体" w:hAnsi="宋体" w:cs="Arial"/>
          <w:b/>
          <w:color w:val="000000"/>
          <w:sz w:val="28"/>
          <w:highlight w:val="white"/>
        </w:rPr>
        <w:t>评审程序</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评标按照下列程序进行：1）评标准备；2）初步评审；3）详细评审；4）推荐中标候选人，撰写评标报告。</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17.3评标准备</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17.3.1评标委员会成员签到</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hint="eastAsia" w:ascii="宋体" w:hAnsi="宋体" w:cs="Arial"/>
          <w:b/>
          <w:bCs/>
          <w:snapToGrid w:val="0"/>
          <w:color w:val="000000"/>
          <w:sz w:val="28"/>
          <w:highlight w:val="white"/>
        </w:rPr>
        <w:t>评标委员会成员到达评标现场时应在签到表上签到以证明出席。</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17.3.2 评标委员会的分工</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17.3.3 熟悉文件资料</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17.4初步评审</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17.4.1响应性评审</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17.4.2算术错误修正</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17.4.3澄清、说明或补正</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在初步评审过程中，评标委员会应当就投标文件中不明确的内容要求投标人进行澄清．</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17.5详细评审</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hint="eastAsia" w:ascii="宋体" w:hAnsi="宋体" w:cs="Arial"/>
          <w:b/>
          <w:bCs/>
          <w:snapToGrid w:val="0"/>
          <w:color w:val="000000"/>
          <w:sz w:val="28"/>
          <w:highlight w:val="white"/>
        </w:rPr>
        <w:t>只有通过了初步评审、被判定为合格的投标方可进入详细评审。</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1、投标文件载明的货物包装方式、检验标准和方法等不符合招标文件的要求；</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2、投标文件提出了不能满足招标文件要求或招标人不能接受的工程验收、计量、价款结算支付办法；</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3、经评标委员会认定投标人的投标报价低于成本价的；</w:t>
      </w:r>
    </w:p>
    <w:p>
      <w:pPr>
        <w:adjustRightInd w:val="0"/>
        <w:snapToGrid w:val="0"/>
        <w:spacing w:line="440" w:lineRule="exact"/>
        <w:ind w:firstLine="560" w:firstLineChars="200"/>
        <w:rPr>
          <w:rFonts w:ascii="宋体" w:hAnsi="宋体" w:cs="Arial"/>
          <w:color w:val="000000"/>
          <w:sz w:val="28"/>
          <w:highlight w:val="white"/>
        </w:rPr>
      </w:pPr>
      <w:r>
        <w:rPr>
          <w:rFonts w:hint="eastAsia" w:ascii="宋体" w:hAnsi="宋体" w:cs="Arial"/>
          <w:color w:val="000000"/>
          <w:sz w:val="28"/>
          <w:highlight w:val="white"/>
        </w:rPr>
        <w:t>4、投标人未按照招标文件的要求提供必须提交的相关资料的；</w:t>
      </w:r>
    </w:p>
    <w:p>
      <w:pPr>
        <w:adjustRightInd w:val="0"/>
        <w:snapToGrid w:val="0"/>
        <w:spacing w:line="440" w:lineRule="exact"/>
        <w:ind w:firstLine="560" w:firstLineChars="200"/>
        <w:rPr>
          <w:rFonts w:ascii="宋体" w:hAnsi="宋体" w:cs="TimesNewRomanPSMT"/>
          <w:color w:val="0000FF"/>
          <w:sz w:val="28"/>
          <w:szCs w:val="32"/>
          <w:highlight w:val="yellow"/>
        </w:rPr>
      </w:pPr>
      <w:r>
        <w:rPr>
          <w:rFonts w:hint="eastAsia" w:ascii="宋体" w:hAnsi="宋体" w:cs="Arial"/>
          <w:color w:val="000000"/>
          <w:sz w:val="28"/>
          <w:highlight w:val="white"/>
        </w:rPr>
        <w:t>5、投标文件附有招标人不能接受的条件；</w:t>
      </w:r>
    </w:p>
    <w:p>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hint="eastAsia" w:ascii="宋体" w:hAnsi="宋体" w:cs="Arial"/>
          <w:b/>
          <w:bCs/>
          <w:snapToGrid w:val="0"/>
          <w:color w:val="000000"/>
          <w:sz w:val="28"/>
          <w:highlight w:val="white"/>
        </w:rPr>
        <w:t>18评标标准及方法</w:t>
      </w:r>
    </w:p>
    <w:p>
      <w:pPr>
        <w:snapToGrid w:val="0"/>
        <w:spacing w:line="440" w:lineRule="exact"/>
        <w:ind w:left="981" w:leftChars="267" w:hanging="420" w:hangingChars="150"/>
        <w:rPr>
          <w:rFonts w:ascii="宋体" w:hAnsi="宋体" w:cs="TimesNewRomanPSMT"/>
          <w:color w:val="FF0000"/>
          <w:sz w:val="28"/>
          <w:szCs w:val="32"/>
        </w:rPr>
      </w:pPr>
      <w:r>
        <w:rPr>
          <w:rFonts w:hint="eastAsia" w:ascii="宋体" w:hAnsi="宋体" w:cs="TimesNewRomanPSMT"/>
          <w:color w:val="0000FF"/>
          <w:sz w:val="28"/>
          <w:szCs w:val="32"/>
        </w:rPr>
        <w:t>经评审的合理低价评分法</w:t>
      </w:r>
    </w:p>
    <w:p>
      <w:pPr>
        <w:spacing w:line="440" w:lineRule="exact"/>
        <w:ind w:firstLine="562" w:firstLineChars="200"/>
        <w:rPr>
          <w:rFonts w:ascii="宋体" w:hAnsi="宋体" w:cs="Arial"/>
          <w:b/>
          <w:color w:val="000000"/>
          <w:sz w:val="28"/>
          <w:highlight w:val="white"/>
        </w:rPr>
      </w:pPr>
      <w:r>
        <w:rPr>
          <w:rFonts w:hint="eastAsia" w:ascii="宋体" w:hAnsi="宋体" w:cs="Arial"/>
          <w:b/>
          <w:color w:val="000000"/>
          <w:sz w:val="28"/>
          <w:highlight w:val="white"/>
        </w:rPr>
        <w:t>19.定标</w:t>
      </w:r>
    </w:p>
    <w:p>
      <w:pPr>
        <w:tabs>
          <w:tab w:val="left" w:pos="2127"/>
        </w:tabs>
        <w:adjustRightInd w:val="0"/>
        <w:snapToGrid w:val="0"/>
        <w:spacing w:line="440" w:lineRule="exact"/>
        <w:ind w:firstLine="560"/>
        <w:rPr>
          <w:rFonts w:ascii="宋体" w:hAnsi="宋体" w:cs="Arial"/>
          <w:color w:val="000000"/>
          <w:sz w:val="28"/>
          <w:highlight w:val="white"/>
        </w:rPr>
      </w:pPr>
      <w:r>
        <w:rPr>
          <w:rFonts w:hint="eastAsia" w:ascii="宋体" w:hAnsi="宋体" w:cs="Arial"/>
          <w:color w:val="000000"/>
          <w:sz w:val="28"/>
          <w:highlight w:val="white"/>
        </w:rPr>
        <w:t>19.1评标委员会完成评标后，应当向招标人提出书面评标报告，阐明评标委员会对各投标文件的评审和比较意见，并按照招标文件中规定的评标方法，推荐3名有排序的合格中标候选人。</w:t>
      </w:r>
    </w:p>
    <w:p>
      <w:pPr>
        <w:adjustRightInd w:val="0"/>
        <w:snapToGrid w:val="0"/>
        <w:spacing w:line="440" w:lineRule="exact"/>
        <w:ind w:firstLine="560"/>
        <w:rPr>
          <w:rFonts w:ascii="宋体" w:hAnsi="宋体" w:cs="Arial"/>
          <w:bCs/>
          <w:color w:val="000000"/>
          <w:spacing w:val="8"/>
          <w:sz w:val="28"/>
        </w:rPr>
      </w:pPr>
      <w:r>
        <w:rPr>
          <w:rFonts w:hint="eastAsia" w:ascii="宋体" w:hAnsi="宋体" w:cs="Arial"/>
          <w:bCs/>
          <w:color w:val="000000"/>
          <w:sz w:val="28"/>
          <w:highlight w:val="white"/>
        </w:rPr>
        <w:t>19.2</w:t>
      </w:r>
      <w:r>
        <w:rPr>
          <w:rFonts w:hint="eastAsia" w:ascii="宋体" w:hAnsi="宋体" w:cs="Arial"/>
          <w:bCs/>
          <w:color w:val="000000"/>
          <w:spacing w:val="8"/>
          <w:sz w:val="28"/>
          <w:highlight w:val="white"/>
        </w:rPr>
        <w:t>排序原则：</w:t>
      </w:r>
    </w:p>
    <w:p>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hint="eastAsia" w:ascii="宋体" w:hAnsi="宋体" w:cs="Arial"/>
          <w:b/>
          <w:bCs/>
          <w:spacing w:val="8"/>
          <w:sz w:val="28"/>
          <w:highlight w:val="white"/>
        </w:rPr>
        <w:t>综合评分法：</w:t>
      </w:r>
    </w:p>
    <w:p>
      <w:pPr>
        <w:adjustRightInd w:val="0"/>
        <w:snapToGrid w:val="0"/>
        <w:spacing w:line="440" w:lineRule="exact"/>
        <w:ind w:firstLine="576"/>
        <w:rPr>
          <w:rFonts w:ascii="宋体" w:hAnsi="宋体" w:cs="Arial"/>
          <w:b/>
          <w:bCs/>
          <w:spacing w:val="8"/>
          <w:sz w:val="28"/>
          <w:highlight w:val="white"/>
        </w:rPr>
      </w:pPr>
      <w:r>
        <w:rPr>
          <w:rFonts w:hint="eastAsia" w:ascii="宋体" w:hAnsi="宋体" w:cs="Arial"/>
          <w:b/>
          <w:bCs/>
          <w:spacing w:val="8"/>
          <w:sz w:val="28"/>
          <w:highlight w:val="white"/>
        </w:rPr>
        <w:t>（1）按评分分数高低从高到低进行排序；</w:t>
      </w:r>
    </w:p>
    <w:p>
      <w:pPr>
        <w:adjustRightInd w:val="0"/>
        <w:snapToGrid w:val="0"/>
        <w:spacing w:line="440" w:lineRule="exact"/>
        <w:ind w:firstLine="576"/>
        <w:rPr>
          <w:rFonts w:ascii="宋体" w:hAnsi="宋体" w:cs="Arial"/>
          <w:b/>
          <w:bCs/>
          <w:color w:val="FF0000"/>
          <w:spacing w:val="8"/>
          <w:sz w:val="28"/>
          <w:highlight w:val="white"/>
        </w:rPr>
      </w:pPr>
      <w:r>
        <w:rPr>
          <w:rFonts w:hint="eastAsia" w:ascii="宋体" w:hAnsi="宋体" w:cs="Arial"/>
          <w:b/>
          <w:bCs/>
          <w:spacing w:val="8"/>
          <w:sz w:val="28"/>
          <w:highlight w:val="white"/>
        </w:rPr>
        <w:t>（2）当评分分数相同时，由评标委员会决定</w:t>
      </w:r>
      <w:bookmarkEnd w:id="12"/>
      <w:r>
        <w:rPr>
          <w:rFonts w:hint="eastAsia" w:ascii="宋体" w:hAnsi="宋体" w:cs="Arial"/>
          <w:b/>
          <w:bCs/>
          <w:spacing w:val="8"/>
          <w:sz w:val="28"/>
          <w:highlight w:val="white"/>
        </w:rPr>
        <w:t>；</w:t>
      </w:r>
    </w:p>
    <w:p>
      <w:pPr>
        <w:tabs>
          <w:tab w:val="left" w:pos="1134"/>
        </w:tabs>
        <w:adjustRightInd w:val="0"/>
        <w:snapToGrid w:val="0"/>
        <w:spacing w:line="440" w:lineRule="exact"/>
        <w:ind w:firstLine="560"/>
        <w:rPr>
          <w:rFonts w:ascii="宋体" w:hAnsi="宋体" w:cs="Arial"/>
          <w:color w:val="000000"/>
          <w:spacing w:val="8"/>
          <w:sz w:val="28"/>
        </w:rPr>
      </w:pPr>
      <w:r>
        <w:rPr>
          <w:rFonts w:hint="eastAsia" w:ascii="宋体" w:hAnsi="宋体" w:cs="Arial"/>
          <w:color w:val="000000"/>
          <w:sz w:val="28"/>
          <w:highlight w:val="white"/>
        </w:rPr>
        <w:t>19.3确定中标人的原则：招标人按照评委会的书面评标报告中的中标候选人排序，确定排名第一的为中标人。</w:t>
      </w:r>
      <w:r>
        <w:rPr>
          <w:rFonts w:hint="eastAsia" w:ascii="宋体" w:hAnsi="宋体" w:cs="Arial"/>
          <w:color w:val="000000"/>
          <w:spacing w:val="8"/>
          <w:sz w:val="28"/>
          <w:highlight w:val="white"/>
        </w:rPr>
        <w:t>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pPr>
        <w:tabs>
          <w:tab w:val="left" w:pos="1134"/>
        </w:tabs>
        <w:adjustRightInd w:val="0"/>
        <w:snapToGrid w:val="0"/>
        <w:spacing w:line="440" w:lineRule="exact"/>
        <w:ind w:firstLine="560"/>
        <w:rPr>
          <w:rFonts w:ascii="宋体" w:hAnsi="宋体" w:cs="Arial"/>
          <w:b/>
          <w:bCs/>
          <w:color w:val="000000"/>
          <w:spacing w:val="8"/>
          <w:sz w:val="28"/>
        </w:rPr>
      </w:pPr>
    </w:p>
    <w:p>
      <w:pPr>
        <w:spacing w:line="440" w:lineRule="exact"/>
        <w:rPr>
          <w:rFonts w:ascii="宋体" w:hAnsi="宋体"/>
          <w:b/>
          <w:sz w:val="32"/>
          <w:szCs w:val="32"/>
          <w:highlight w:val="white"/>
        </w:rPr>
      </w:pPr>
      <w:r>
        <w:rPr>
          <w:rFonts w:hint="eastAsia" w:ascii="宋体" w:hAnsi="宋体"/>
          <w:b/>
          <w:sz w:val="32"/>
          <w:szCs w:val="32"/>
          <w:highlight w:val="white"/>
        </w:rPr>
        <w:t>九、授  予  合  同</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20、发放中标通知书</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21、合同签订</w:t>
      </w:r>
    </w:p>
    <w:p>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hint="eastAsia" w:ascii="宋体" w:hAnsi="宋体"/>
          <w:snapToGrid w:val="0"/>
          <w:sz w:val="28"/>
          <w:highlight w:val="white"/>
        </w:rPr>
        <w:t>21.1</w:t>
      </w:r>
      <w:r>
        <w:rPr>
          <w:rFonts w:hint="eastAsia" w:ascii="宋体" w:hAnsi="宋体" w:cs="Arial"/>
          <w:color w:val="000000"/>
          <w:spacing w:val="8"/>
          <w:sz w:val="28"/>
          <w:highlight w:val="white"/>
        </w:rPr>
        <w:t>招标人与中标人将根据《中华人民共和国民法典》的规定，依据招标文件和投标文件签订施工合同，投标人的投标文件内容应作为合同的组成部分。</w:t>
      </w:r>
    </w:p>
    <w:p>
      <w:pPr>
        <w:pStyle w:val="6"/>
        <w:ind w:firstLine="720" w:firstLineChars="200"/>
        <w:jc w:val="center"/>
        <w:rPr>
          <w:rFonts w:ascii="仿宋_GB2312" w:hAnsi="宋体" w:eastAsia="仿宋_GB2312"/>
          <w:sz w:val="36"/>
        </w:rPr>
      </w:pPr>
    </w:p>
    <w:p>
      <w:pPr>
        <w:pStyle w:val="6"/>
        <w:rPr>
          <w:rFonts w:hAnsi="宋体"/>
          <w:b/>
          <w:sz w:val="32"/>
          <w:szCs w:val="32"/>
        </w:rPr>
      </w:pPr>
      <w:r>
        <w:rPr>
          <w:rFonts w:hint="eastAsia" w:hAnsi="宋体"/>
          <w:b/>
          <w:sz w:val="32"/>
          <w:szCs w:val="32"/>
        </w:rPr>
        <w:t>十、招标最高限价清单</w:t>
      </w:r>
    </w:p>
    <w:p>
      <w:pPr>
        <w:sectPr>
          <w:footerReference r:id="rId3" w:type="default"/>
          <w:pgSz w:w="11906" w:h="16838"/>
          <w:pgMar w:top="567" w:right="567" w:bottom="630" w:left="850" w:header="567" w:footer="630" w:gutter="0"/>
          <w:pgNumType w:fmt="decimal"/>
          <w:cols w:space="720" w:num="1"/>
        </w:sectPr>
      </w:pPr>
    </w:p>
    <w:tbl>
      <w:tblPr>
        <w:tblStyle w:val="13"/>
        <w:tblW w:w="10431" w:type="dxa"/>
        <w:tblInd w:w="-1056" w:type="dxa"/>
        <w:tblLayout w:type="fixed"/>
        <w:tblCellMar>
          <w:top w:w="0" w:type="dxa"/>
          <w:left w:w="0" w:type="dxa"/>
          <w:bottom w:w="0" w:type="dxa"/>
          <w:right w:w="0" w:type="dxa"/>
        </w:tblCellMar>
      </w:tblPr>
      <w:tblGrid>
        <w:gridCol w:w="347"/>
        <w:gridCol w:w="197"/>
        <w:gridCol w:w="273"/>
        <w:gridCol w:w="1232"/>
        <w:gridCol w:w="487"/>
        <w:gridCol w:w="573"/>
        <w:gridCol w:w="74"/>
        <w:gridCol w:w="499"/>
        <w:gridCol w:w="1533"/>
        <w:gridCol w:w="359"/>
        <w:gridCol w:w="302"/>
        <w:gridCol w:w="342"/>
        <w:gridCol w:w="144"/>
        <w:gridCol w:w="81"/>
        <w:gridCol w:w="750"/>
        <w:gridCol w:w="242"/>
        <w:gridCol w:w="560"/>
        <w:gridCol w:w="172"/>
        <w:gridCol w:w="186"/>
        <w:gridCol w:w="216"/>
        <w:gridCol w:w="709"/>
        <w:gridCol w:w="21"/>
        <w:gridCol w:w="57"/>
        <w:gridCol w:w="1056"/>
        <w:gridCol w:w="19"/>
      </w:tblGrid>
      <w:tr>
        <w:tblPrEx>
          <w:tblCellMar>
            <w:top w:w="0" w:type="dxa"/>
            <w:left w:w="0" w:type="dxa"/>
            <w:bottom w:w="0" w:type="dxa"/>
            <w:right w:w="0" w:type="dxa"/>
          </w:tblCellMar>
        </w:tblPrEx>
        <w:trPr>
          <w:trHeight w:val="673" w:hRule="exact"/>
        </w:trPr>
        <w:tc>
          <w:tcPr>
            <w:tcW w:w="10431" w:type="dxa"/>
            <w:gridSpan w:val="25"/>
            <w:shd w:val="clear" w:color="auto" w:fill="auto"/>
            <w:vAlign w:val="center"/>
          </w:tcPr>
          <w:p>
            <w:pPr>
              <w:spacing w:line="232" w:lineRule="auto"/>
              <w:jc w:val="center"/>
              <w:rPr>
                <w:rFonts w:ascii="宋体" w:hAnsi="宋体" w:cs="宋体"/>
                <w:b/>
                <w:color w:val="000000"/>
                <w:spacing w:val="-2"/>
                <w:sz w:val="32"/>
              </w:rPr>
            </w:pPr>
            <w:r>
              <w:rPr>
                <w:rFonts w:ascii="宋体" w:hAnsi="宋体" w:cs="宋体"/>
                <w:b/>
                <w:color w:val="000000"/>
                <w:spacing w:val="-2"/>
                <w:sz w:val="32"/>
              </w:rPr>
              <w:t>分部分项工程和单价措施项目清单与计价表</w:t>
            </w:r>
          </w:p>
        </w:tc>
      </w:tr>
      <w:tr>
        <w:tblPrEx>
          <w:tblCellMar>
            <w:top w:w="0" w:type="dxa"/>
            <w:left w:w="0" w:type="dxa"/>
            <w:bottom w:w="0" w:type="dxa"/>
            <w:right w:w="0" w:type="dxa"/>
          </w:tblCellMar>
        </w:tblPrEx>
        <w:trPr>
          <w:trHeight w:val="344" w:hRule="exact"/>
        </w:trPr>
        <w:tc>
          <w:tcPr>
            <w:tcW w:w="5215" w:type="dxa"/>
            <w:gridSpan w:val="9"/>
            <w:tcBorders>
              <w:bottom w:val="single" w:color="000000" w:sz="10" w:space="0"/>
            </w:tcBorders>
            <w:shd w:val="clear" w:color="auto" w:fill="auto"/>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工程名称：泰安镇金泰路道路提升改造工程</w:t>
            </w:r>
          </w:p>
        </w:tc>
        <w:tc>
          <w:tcPr>
            <w:tcW w:w="3138" w:type="dxa"/>
            <w:gridSpan w:val="10"/>
            <w:tcBorders>
              <w:bottom w:val="single" w:color="000000" w:sz="10" w:space="0"/>
            </w:tcBorders>
            <w:shd w:val="clear" w:color="auto" w:fill="auto"/>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标段：</w:t>
            </w:r>
          </w:p>
        </w:tc>
        <w:tc>
          <w:tcPr>
            <w:tcW w:w="2078" w:type="dxa"/>
            <w:gridSpan w:val="6"/>
            <w:tcBorders>
              <w:bottom w:val="single" w:color="000000" w:sz="10" w:space="0"/>
            </w:tcBorders>
            <w:shd w:val="clear" w:color="auto" w:fill="auto"/>
            <w:vAlign w:val="center"/>
          </w:tcPr>
          <w:p>
            <w:pPr>
              <w:spacing w:line="232" w:lineRule="auto"/>
              <w:jc w:val="right"/>
              <w:rPr>
                <w:rFonts w:ascii="黑体" w:hAnsi="黑体" w:eastAsia="黑体" w:cs="黑体"/>
                <w:color w:val="000000"/>
                <w:spacing w:val="-2"/>
              </w:rPr>
            </w:pPr>
            <w:r>
              <w:rPr>
                <w:rFonts w:ascii="黑体" w:hAnsi="黑体" w:eastAsia="黑体" w:cs="黑体"/>
                <w:color w:val="000000"/>
                <w:spacing w:val="-2"/>
              </w:rPr>
              <w:t>第1页 共2页</w:t>
            </w:r>
          </w:p>
        </w:tc>
      </w:tr>
      <w:tr>
        <w:tblPrEx>
          <w:tblCellMar>
            <w:top w:w="0" w:type="dxa"/>
            <w:left w:w="0" w:type="dxa"/>
            <w:bottom w:w="0" w:type="dxa"/>
            <w:right w:w="0" w:type="dxa"/>
          </w:tblCellMar>
        </w:tblPrEx>
        <w:trPr>
          <w:trHeight w:val="301" w:hRule="exact"/>
        </w:trPr>
        <w:tc>
          <w:tcPr>
            <w:tcW w:w="544" w:type="dxa"/>
            <w:gridSpan w:val="2"/>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序号</w:t>
            </w:r>
          </w:p>
        </w:tc>
        <w:tc>
          <w:tcPr>
            <w:tcW w:w="1505"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项目编码</w:t>
            </w:r>
          </w:p>
        </w:tc>
        <w:tc>
          <w:tcPr>
            <w:tcW w:w="1633" w:type="dxa"/>
            <w:gridSpan w:val="4"/>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项目名称</w:t>
            </w:r>
          </w:p>
        </w:tc>
        <w:tc>
          <w:tcPr>
            <w:tcW w:w="1892"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项目特征描述</w:t>
            </w:r>
          </w:p>
        </w:tc>
        <w:tc>
          <w:tcPr>
            <w:tcW w:w="644"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计量</w:t>
            </w:r>
          </w:p>
          <w:p>
            <w:pPr>
              <w:spacing w:line="232" w:lineRule="auto"/>
              <w:jc w:val="center"/>
              <w:rPr>
                <w:rFonts w:ascii="黑体" w:hAnsi="黑体" w:eastAsia="黑体" w:cs="黑体"/>
                <w:color w:val="000000"/>
                <w:spacing w:val="-2"/>
              </w:rPr>
            </w:pPr>
            <w:r>
              <w:rPr>
                <w:rFonts w:ascii="黑体" w:hAnsi="黑体" w:eastAsia="黑体" w:cs="黑体"/>
                <w:color w:val="000000"/>
                <w:spacing w:val="-2"/>
              </w:rPr>
              <w:t>单位</w:t>
            </w:r>
          </w:p>
        </w:tc>
        <w:tc>
          <w:tcPr>
            <w:tcW w:w="975"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工程量</w:t>
            </w:r>
          </w:p>
        </w:tc>
        <w:tc>
          <w:tcPr>
            <w:tcW w:w="3238" w:type="dxa"/>
            <w:gridSpan w:val="10"/>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金额（元）</w:t>
            </w:r>
          </w:p>
        </w:tc>
      </w:tr>
      <w:tr>
        <w:tblPrEx>
          <w:tblCellMar>
            <w:top w:w="0" w:type="dxa"/>
            <w:left w:w="0" w:type="dxa"/>
            <w:bottom w:w="0" w:type="dxa"/>
            <w:right w:w="0" w:type="dxa"/>
          </w:tblCellMar>
        </w:tblPrEx>
        <w:trPr>
          <w:trHeight w:val="301" w:hRule="exact"/>
        </w:trPr>
        <w:tc>
          <w:tcPr>
            <w:tcW w:w="544" w:type="dxa"/>
            <w:gridSpan w:val="2"/>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tc>
        <w:tc>
          <w:tcPr>
            <w:tcW w:w="1505"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1633"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644"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975"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97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综合单价</w:t>
            </w:r>
          </w:p>
        </w:tc>
        <w:tc>
          <w:tcPr>
            <w:tcW w:w="1189"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其中</w:t>
            </w:r>
          </w:p>
        </w:tc>
      </w:tr>
      <w:tr>
        <w:tblPrEx>
          <w:tblCellMar>
            <w:top w:w="0" w:type="dxa"/>
            <w:left w:w="0" w:type="dxa"/>
            <w:bottom w:w="0" w:type="dxa"/>
            <w:right w:w="0" w:type="dxa"/>
          </w:tblCellMar>
        </w:tblPrEx>
        <w:trPr>
          <w:trHeight w:val="287" w:hRule="exact"/>
        </w:trPr>
        <w:tc>
          <w:tcPr>
            <w:tcW w:w="544" w:type="dxa"/>
            <w:gridSpan w:val="2"/>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tc>
        <w:tc>
          <w:tcPr>
            <w:tcW w:w="1505"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1633"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18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644"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975"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97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189"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暂估价</w:t>
            </w:r>
          </w:p>
        </w:tc>
      </w:tr>
      <w:tr>
        <w:tblPrEx>
          <w:tblCellMar>
            <w:top w:w="0" w:type="dxa"/>
            <w:left w:w="0" w:type="dxa"/>
            <w:bottom w:w="0" w:type="dxa"/>
            <w:right w:w="0" w:type="dxa"/>
          </w:tblCellMar>
        </w:tblPrEx>
        <w:trPr>
          <w:trHeight w:val="343"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bookmarkStart w:id="13" w:name="b10410拆除工程"/>
            <w:bookmarkEnd w:id="13"/>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35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0410 拆除工程</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116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1</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041001001002</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拆除路面</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1、材质：砼面层</w:t>
            </w:r>
          </w:p>
          <w:p>
            <w:pPr>
              <w:spacing w:line="232" w:lineRule="auto"/>
              <w:rPr>
                <w:rFonts w:ascii="宋体" w:hAnsi="宋体" w:cs="宋体"/>
                <w:color w:val="000000"/>
                <w:spacing w:val="-2"/>
              </w:rPr>
            </w:pPr>
            <w:r>
              <w:rPr>
                <w:rFonts w:ascii="宋体" w:hAnsi="宋体" w:cs="宋体"/>
                <w:color w:val="000000"/>
                <w:spacing w:val="-2"/>
              </w:rPr>
              <w:t>2、厚度：暂按26cm考虑</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5600</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3.90</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100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2</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041001003001</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拆除基层</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1、材质：灰土</w:t>
            </w:r>
          </w:p>
          <w:p>
            <w:pPr>
              <w:spacing w:line="232" w:lineRule="auto"/>
              <w:rPr>
                <w:rFonts w:ascii="宋体" w:hAnsi="宋体" w:cs="宋体"/>
                <w:color w:val="000000"/>
                <w:spacing w:val="-2"/>
              </w:rPr>
            </w:pPr>
            <w:r>
              <w:rPr>
                <w:rFonts w:ascii="宋体" w:hAnsi="宋体" w:cs="宋体"/>
                <w:color w:val="000000"/>
                <w:spacing w:val="-2"/>
              </w:rPr>
              <w:t>2、厚度：16cm</w:t>
            </w:r>
          </w:p>
          <w:p>
            <w:pPr>
              <w:spacing w:line="232" w:lineRule="auto"/>
              <w:rPr>
                <w:rFonts w:ascii="宋体" w:hAnsi="宋体" w:cs="宋体"/>
                <w:color w:val="000000"/>
                <w:spacing w:val="-2"/>
              </w:rPr>
            </w:pPr>
            <w:r>
              <w:rPr>
                <w:rFonts w:ascii="宋体" w:hAnsi="宋体" w:cs="宋体"/>
                <w:color w:val="000000"/>
                <w:spacing w:val="-2"/>
              </w:rPr>
              <w:t>3、部位：老路基层</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5600</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1.81</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702"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3</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041001005001</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拆除侧、平（缘）石</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1、材质：砼侧石</w:t>
            </w:r>
          </w:p>
          <w:p>
            <w:pPr>
              <w:spacing w:line="232" w:lineRule="auto"/>
              <w:rPr>
                <w:rFonts w:ascii="宋体" w:hAnsi="宋体" w:cs="宋体"/>
                <w:color w:val="000000"/>
                <w:spacing w:val="-2"/>
              </w:rPr>
            </w:pPr>
            <w:r>
              <w:rPr>
                <w:rFonts w:ascii="宋体" w:hAnsi="宋体" w:cs="宋体"/>
                <w:color w:val="000000"/>
                <w:spacing w:val="-2"/>
              </w:rPr>
              <w:t>2、不利用</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1700</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1.28</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946"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4</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040103002001</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余方弃置</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1、废弃料品种：沥青、砼、侧石</w:t>
            </w:r>
          </w:p>
          <w:p>
            <w:pPr>
              <w:spacing w:line="232" w:lineRule="auto"/>
              <w:rPr>
                <w:rFonts w:ascii="宋体" w:hAnsi="宋体" w:cs="宋体"/>
                <w:color w:val="000000"/>
                <w:spacing w:val="-2"/>
              </w:rPr>
            </w:pPr>
            <w:r>
              <w:rPr>
                <w:rFonts w:ascii="宋体" w:hAnsi="宋体" w:cs="宋体"/>
                <w:color w:val="000000"/>
                <w:spacing w:val="-2"/>
              </w:rPr>
              <w:t>2、运距：投标人自行考虑</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m3</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2400.49</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43.36</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344"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bookmarkStart w:id="14" w:name="b6分部小计"/>
            <w:bookmarkEnd w:id="14"/>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35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分部小计</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343"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bookmarkStart w:id="15" w:name="b70402道路工程"/>
            <w:bookmarkEnd w:id="15"/>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35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0402 道路工程</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831" w:hRule="exact"/>
        </w:trPr>
        <w:tc>
          <w:tcPr>
            <w:tcW w:w="544" w:type="dxa"/>
            <w:gridSpan w:val="2"/>
            <w:vMerge w:val="restart"/>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6</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040201021001</w:t>
            </w:r>
          </w:p>
        </w:tc>
        <w:tc>
          <w:tcPr>
            <w:tcW w:w="163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土工合成材料</w:t>
            </w:r>
          </w:p>
        </w:tc>
        <w:tc>
          <w:tcPr>
            <w:tcW w:w="18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1、材料品种、规格：高性能聚酯（单位面积质量125-200g/m2、CBR顶破强度》0.55KN）</w:t>
            </w:r>
          </w:p>
          <w:p>
            <w:pPr>
              <w:spacing w:line="232" w:lineRule="auto"/>
              <w:rPr>
                <w:rFonts w:ascii="宋体" w:hAnsi="宋体" w:cs="宋体"/>
                <w:color w:val="000000"/>
                <w:spacing w:val="-2"/>
              </w:rPr>
            </w:pPr>
            <w:r>
              <w:rPr>
                <w:rFonts w:ascii="宋体" w:hAnsi="宋体" w:cs="宋体"/>
                <w:color w:val="000000"/>
                <w:spacing w:val="-2"/>
              </w:rPr>
              <w:t>2、部位：路基、路面搭接处</w:t>
            </w:r>
          </w:p>
        </w:tc>
        <w:tc>
          <w:tcPr>
            <w:tcW w:w="6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1251.25</w:t>
            </w:r>
          </w:p>
        </w:tc>
        <w:tc>
          <w:tcPr>
            <w:tcW w:w="9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8.65</w:t>
            </w:r>
          </w:p>
        </w:tc>
        <w:tc>
          <w:tcPr>
            <w:tcW w:w="118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vMerge w:val="restart"/>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1480" w:hRule="exact"/>
        </w:trPr>
        <w:tc>
          <w:tcPr>
            <w:tcW w:w="544" w:type="dxa"/>
            <w:gridSpan w:val="2"/>
            <w:vMerge w:val="continue"/>
            <w:tcBorders>
              <w:top w:val="single" w:color="000000" w:sz="4" w:space="0"/>
              <w:left w:val="single" w:color="000000" w:sz="10" w:space="0"/>
              <w:bottom w:val="single" w:color="000000" w:sz="4" w:space="0"/>
              <w:right w:val="single" w:color="000000" w:sz="4" w:space="0"/>
            </w:tcBorders>
            <w:shd w:val="clear" w:color="auto" w:fill="auto"/>
            <w:vAlign w:val="center"/>
          </w:tc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18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5" w:type="dxa"/>
            <w:gridSpan w:val="2"/>
            <w:vMerge w:val="continue"/>
            <w:tcBorders>
              <w:top w:val="single" w:color="000000" w:sz="4" w:space="0"/>
              <w:left w:val="single" w:color="000000" w:sz="4" w:space="0"/>
              <w:bottom w:val="single" w:color="000000" w:sz="4" w:space="0"/>
              <w:right w:val="single" w:color="000000" w:sz="10" w:space="0"/>
            </w:tcBorders>
            <w:shd w:val="clear" w:color="auto" w:fill="auto"/>
            <w:vAlign w:val="center"/>
          </w:tcPr>
          <w:p/>
        </w:tc>
      </w:tr>
      <w:tr>
        <w:tblPrEx>
          <w:tblCellMar>
            <w:top w:w="0" w:type="dxa"/>
            <w:left w:w="0" w:type="dxa"/>
            <w:bottom w:w="0" w:type="dxa"/>
            <w:right w:w="0" w:type="dxa"/>
          </w:tblCellMar>
        </w:tblPrEx>
        <w:trPr>
          <w:trHeight w:val="817" w:hRule="exact"/>
        </w:trPr>
        <w:tc>
          <w:tcPr>
            <w:tcW w:w="544" w:type="dxa"/>
            <w:gridSpan w:val="2"/>
            <w:vMerge w:val="restart"/>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7</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040201021002</w:t>
            </w:r>
          </w:p>
        </w:tc>
        <w:tc>
          <w:tcPr>
            <w:tcW w:w="163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土工合成材料</w:t>
            </w:r>
          </w:p>
        </w:tc>
        <w:tc>
          <w:tcPr>
            <w:tcW w:w="18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1、材料品种、规格：玻纤格栅（断裂延伸率《4%，抗拉强度指标》60KN/m）</w:t>
            </w:r>
          </w:p>
          <w:p>
            <w:pPr>
              <w:spacing w:line="232" w:lineRule="auto"/>
              <w:rPr>
                <w:rFonts w:ascii="宋体" w:hAnsi="宋体" w:cs="宋体"/>
                <w:color w:val="000000"/>
                <w:spacing w:val="-2"/>
              </w:rPr>
            </w:pPr>
            <w:r>
              <w:rPr>
                <w:rFonts w:ascii="宋体" w:hAnsi="宋体" w:cs="宋体"/>
                <w:color w:val="000000"/>
                <w:spacing w:val="-2"/>
              </w:rPr>
              <w:t>2、部位：路基、路面搭接处</w:t>
            </w:r>
          </w:p>
        </w:tc>
        <w:tc>
          <w:tcPr>
            <w:tcW w:w="6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1400</w:t>
            </w:r>
          </w:p>
        </w:tc>
        <w:tc>
          <w:tcPr>
            <w:tcW w:w="9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5.07</w:t>
            </w:r>
          </w:p>
        </w:tc>
        <w:tc>
          <w:tcPr>
            <w:tcW w:w="118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vMerge w:val="restart"/>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1173" w:hRule="exact"/>
        </w:trPr>
        <w:tc>
          <w:tcPr>
            <w:tcW w:w="544" w:type="dxa"/>
            <w:gridSpan w:val="2"/>
            <w:vMerge w:val="continue"/>
            <w:tcBorders>
              <w:top w:val="single" w:color="000000" w:sz="4" w:space="0"/>
              <w:left w:val="single" w:color="000000" w:sz="10" w:space="0"/>
              <w:bottom w:val="single" w:color="000000" w:sz="4" w:space="0"/>
              <w:right w:val="single" w:color="000000" w:sz="4" w:space="0"/>
            </w:tcBorders>
            <w:shd w:val="clear" w:color="auto" w:fill="auto"/>
            <w:vAlign w:val="center"/>
          </w:tc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18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5" w:type="dxa"/>
            <w:gridSpan w:val="2"/>
            <w:vMerge w:val="continue"/>
            <w:tcBorders>
              <w:top w:val="single" w:color="000000" w:sz="4" w:space="0"/>
              <w:left w:val="single" w:color="000000" w:sz="4" w:space="0"/>
              <w:bottom w:val="single" w:color="000000" w:sz="4" w:space="0"/>
              <w:right w:val="single" w:color="000000" w:sz="10" w:space="0"/>
            </w:tcBorders>
            <w:shd w:val="clear" w:color="auto" w:fill="auto"/>
            <w:vAlign w:val="center"/>
          </w:tcPr>
          <w:p/>
        </w:tc>
      </w:tr>
      <w:tr>
        <w:tblPrEx>
          <w:tblCellMar>
            <w:top w:w="0" w:type="dxa"/>
            <w:left w:w="0" w:type="dxa"/>
            <w:bottom w:w="0" w:type="dxa"/>
            <w:right w:w="0" w:type="dxa"/>
          </w:tblCellMar>
        </w:tblPrEx>
        <w:trPr>
          <w:trHeight w:val="945" w:hRule="exact"/>
        </w:trPr>
        <w:tc>
          <w:tcPr>
            <w:tcW w:w="544" w:type="dxa"/>
            <w:gridSpan w:val="2"/>
            <w:vMerge w:val="restart"/>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8</w:t>
            </w:r>
          </w:p>
        </w:tc>
        <w:tc>
          <w:tcPr>
            <w:tcW w:w="1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040204004001</w:t>
            </w:r>
          </w:p>
        </w:tc>
        <w:tc>
          <w:tcPr>
            <w:tcW w:w="163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安砌侧（平、缘）石</w:t>
            </w:r>
          </w:p>
        </w:tc>
        <w:tc>
          <w:tcPr>
            <w:tcW w:w="18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1、材料品种、规格：五莲花花岗岩，12.5*17.5*99cm，侧石</w:t>
            </w:r>
          </w:p>
          <w:p>
            <w:pPr>
              <w:spacing w:line="232" w:lineRule="auto"/>
              <w:rPr>
                <w:rFonts w:ascii="宋体" w:hAnsi="宋体" w:cs="宋体"/>
                <w:color w:val="000000"/>
                <w:spacing w:val="-2"/>
              </w:rPr>
            </w:pPr>
            <w:r>
              <w:rPr>
                <w:rFonts w:ascii="宋体" w:hAnsi="宋体" w:cs="宋体"/>
                <w:color w:val="000000"/>
                <w:spacing w:val="-2"/>
              </w:rPr>
              <w:t>2、基础、垫层：材料品种、厚度：C25细石砼</w:t>
            </w:r>
          </w:p>
          <w:p>
            <w:pPr>
              <w:spacing w:line="232" w:lineRule="auto"/>
              <w:rPr>
                <w:rFonts w:ascii="宋体" w:hAnsi="宋体" w:cs="宋体"/>
                <w:color w:val="000000"/>
                <w:spacing w:val="-2"/>
              </w:rPr>
            </w:pPr>
            <w:r>
              <w:rPr>
                <w:rFonts w:ascii="宋体" w:hAnsi="宋体" w:cs="宋体"/>
                <w:color w:val="000000"/>
                <w:spacing w:val="-2"/>
              </w:rPr>
              <w:t>3、部位：侧分带侧石</w:t>
            </w:r>
          </w:p>
        </w:tc>
        <w:tc>
          <w:tcPr>
            <w:tcW w:w="6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w:t>
            </w:r>
          </w:p>
        </w:tc>
        <w:tc>
          <w:tcPr>
            <w:tcW w:w="9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1600</w:t>
            </w:r>
          </w:p>
        </w:tc>
        <w:tc>
          <w:tcPr>
            <w:tcW w:w="9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82.80</w:t>
            </w:r>
          </w:p>
        </w:tc>
        <w:tc>
          <w:tcPr>
            <w:tcW w:w="118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vMerge w:val="restart"/>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932" w:hRule="exact"/>
        </w:trPr>
        <w:tc>
          <w:tcPr>
            <w:tcW w:w="544" w:type="dxa"/>
            <w:gridSpan w:val="2"/>
            <w:vMerge w:val="continue"/>
            <w:tcBorders>
              <w:top w:val="single" w:color="000000" w:sz="4" w:space="0"/>
              <w:left w:val="single" w:color="000000" w:sz="10" w:space="0"/>
              <w:bottom w:val="single" w:color="000000" w:sz="4" w:space="0"/>
              <w:right w:val="single" w:color="000000" w:sz="4" w:space="0"/>
            </w:tcBorders>
            <w:shd w:val="clear" w:color="auto" w:fill="auto"/>
            <w:vAlign w:val="center"/>
          </w:tcPr>
          <w:p/>
        </w:tc>
        <w:tc>
          <w:tcPr>
            <w:tcW w:w="1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63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6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9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18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075" w:type="dxa"/>
            <w:gridSpan w:val="2"/>
            <w:vMerge w:val="continue"/>
            <w:tcBorders>
              <w:top w:val="single" w:color="000000" w:sz="4" w:space="0"/>
              <w:left w:val="single" w:color="000000" w:sz="4" w:space="0"/>
              <w:bottom w:val="single" w:color="000000" w:sz="4" w:space="0"/>
              <w:right w:val="single" w:color="000000" w:sz="10" w:space="0"/>
            </w:tcBorders>
            <w:shd w:val="clear" w:color="auto" w:fill="auto"/>
            <w:vAlign w:val="center"/>
          </w:tcPr>
          <w:p/>
        </w:tc>
      </w:tr>
      <w:tr>
        <w:tblPrEx>
          <w:tblCellMar>
            <w:top w:w="0" w:type="dxa"/>
            <w:left w:w="0" w:type="dxa"/>
            <w:bottom w:w="0" w:type="dxa"/>
            <w:right w:w="0" w:type="dxa"/>
          </w:tblCellMar>
        </w:tblPrEx>
        <w:trPr>
          <w:trHeight w:val="1175"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9</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040204004002</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安砌侧（平、缘）石</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1、材料品种、规格：五莲花花岗岩，12.5*30*99cm，平石</w:t>
            </w:r>
          </w:p>
          <w:p>
            <w:pPr>
              <w:spacing w:line="232" w:lineRule="auto"/>
              <w:rPr>
                <w:rFonts w:ascii="宋体" w:hAnsi="宋体" w:cs="宋体"/>
                <w:color w:val="000000"/>
                <w:spacing w:val="-2"/>
              </w:rPr>
            </w:pPr>
            <w:r>
              <w:rPr>
                <w:rFonts w:ascii="宋体" w:hAnsi="宋体" w:cs="宋体"/>
                <w:color w:val="000000"/>
                <w:spacing w:val="-2"/>
              </w:rPr>
              <w:t>2、部位：侧分带、人行道外侧</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700</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89.61</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1568" w:hRule="exact"/>
        </w:trPr>
        <w:tc>
          <w:tcPr>
            <w:tcW w:w="544" w:type="dxa"/>
            <w:gridSpan w:val="2"/>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11</w:t>
            </w:r>
          </w:p>
        </w:tc>
        <w:tc>
          <w:tcPr>
            <w:tcW w:w="1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040205006010</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标线</w:t>
            </w:r>
          </w:p>
        </w:tc>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1、热熔反光标线</w:t>
            </w:r>
          </w:p>
          <w:p>
            <w:pPr>
              <w:spacing w:line="232" w:lineRule="auto"/>
              <w:rPr>
                <w:rFonts w:ascii="宋体" w:hAnsi="宋体" w:cs="宋体"/>
                <w:color w:val="000000"/>
                <w:spacing w:val="-2"/>
              </w:rPr>
            </w:pPr>
            <w:r>
              <w:rPr>
                <w:rFonts w:ascii="宋体" w:hAnsi="宋体" w:cs="宋体"/>
                <w:color w:val="000000"/>
                <w:spacing w:val="-2"/>
              </w:rPr>
              <w:t>2、路面标线涂料</w:t>
            </w:r>
          </w:p>
          <w:p>
            <w:pPr>
              <w:spacing w:line="232" w:lineRule="auto"/>
              <w:rPr>
                <w:rFonts w:ascii="宋体" w:hAnsi="宋体" w:cs="宋体"/>
                <w:color w:val="000000"/>
                <w:spacing w:val="-2"/>
              </w:rPr>
            </w:pPr>
            <w:r>
              <w:rPr>
                <w:rFonts w:ascii="宋体" w:hAnsi="宋体" w:cs="宋体"/>
                <w:color w:val="000000"/>
                <w:spacing w:val="-2"/>
              </w:rPr>
              <w:t>3、线型：车道分界线、车道边缘线、停止线、人行横道线</w:t>
            </w:r>
          </w:p>
        </w:tc>
        <w:tc>
          <w:tcPr>
            <w:tcW w:w="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m2</w:t>
            </w:r>
          </w:p>
        </w:tc>
        <w:tc>
          <w:tcPr>
            <w:tcW w:w="9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505</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56.44</w:t>
            </w:r>
          </w:p>
        </w:tc>
        <w:tc>
          <w:tcPr>
            <w:tcW w:w="11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075" w:type="dxa"/>
            <w:gridSpan w:val="2"/>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trHeight w:val="273" w:hRule="exact"/>
        </w:trPr>
        <w:tc>
          <w:tcPr>
            <w:tcW w:w="10431" w:type="dxa"/>
            <w:gridSpan w:val="25"/>
            <w:tcBorders>
              <w:top w:val="single" w:color="000000" w:sz="10" w:space="0"/>
            </w:tcBorders>
          </w:tcPr>
          <w:p/>
        </w:tc>
      </w:tr>
      <w:tr>
        <w:tblPrEx>
          <w:tblCellMar>
            <w:top w:w="0" w:type="dxa"/>
            <w:left w:w="0" w:type="dxa"/>
            <w:bottom w:w="0" w:type="dxa"/>
            <w:right w:w="0" w:type="dxa"/>
          </w:tblCellMar>
        </w:tblPrEx>
        <w:trPr>
          <w:trHeight w:val="458" w:hRule="exact"/>
        </w:trPr>
        <w:tc>
          <w:tcPr>
            <w:tcW w:w="2536" w:type="dxa"/>
            <w:gridSpan w:val="5"/>
          </w:tcPr>
          <w:p/>
        </w:tc>
        <w:tc>
          <w:tcPr>
            <w:tcW w:w="7895" w:type="dxa"/>
            <w:gridSpan w:val="20"/>
            <w:shd w:val="clear" w:color="auto" w:fill="auto"/>
          </w:tcPr>
          <w:p>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r>
        <w:tblPrEx>
          <w:tblCellMar>
            <w:top w:w="0" w:type="dxa"/>
            <w:left w:w="0" w:type="dxa"/>
            <w:bottom w:w="0" w:type="dxa"/>
            <w:right w:w="0" w:type="dxa"/>
          </w:tblCellMar>
        </w:tblPrEx>
        <w:trPr>
          <w:trHeight w:val="674" w:hRule="exact"/>
        </w:trPr>
        <w:tc>
          <w:tcPr>
            <w:tcW w:w="10431" w:type="dxa"/>
            <w:gridSpan w:val="25"/>
            <w:shd w:val="clear" w:color="auto" w:fill="auto"/>
            <w:vAlign w:val="center"/>
          </w:tcPr>
          <w:p>
            <w:pPr>
              <w:spacing w:line="232" w:lineRule="auto"/>
              <w:jc w:val="center"/>
              <w:rPr>
                <w:rFonts w:ascii="宋体" w:hAnsi="宋体" w:cs="宋体"/>
                <w:b/>
                <w:color w:val="000000"/>
                <w:spacing w:val="-2"/>
                <w:sz w:val="32"/>
              </w:rPr>
            </w:pPr>
            <w:r>
              <w:rPr>
                <w:rFonts w:ascii="宋体" w:hAnsi="宋体" w:cs="宋体"/>
                <w:b/>
                <w:color w:val="000000"/>
                <w:spacing w:val="-2"/>
                <w:sz w:val="32"/>
              </w:rPr>
              <w:t>分部分项工程和单价措施项目清单与计价表</w:t>
            </w:r>
          </w:p>
        </w:tc>
      </w:tr>
      <w:tr>
        <w:tblPrEx>
          <w:tblCellMar>
            <w:top w:w="0" w:type="dxa"/>
            <w:left w:w="0" w:type="dxa"/>
            <w:bottom w:w="0" w:type="dxa"/>
            <w:right w:w="0" w:type="dxa"/>
          </w:tblCellMar>
        </w:tblPrEx>
        <w:trPr>
          <w:trHeight w:val="344" w:hRule="exact"/>
        </w:trPr>
        <w:tc>
          <w:tcPr>
            <w:tcW w:w="5215" w:type="dxa"/>
            <w:gridSpan w:val="9"/>
            <w:tcBorders>
              <w:bottom w:val="single" w:color="000000" w:sz="10" w:space="0"/>
            </w:tcBorders>
            <w:shd w:val="clear" w:color="auto" w:fill="auto"/>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工程名称：泰安镇金泰路道路提升改造工程</w:t>
            </w:r>
          </w:p>
        </w:tc>
        <w:tc>
          <w:tcPr>
            <w:tcW w:w="3138" w:type="dxa"/>
            <w:gridSpan w:val="10"/>
            <w:tcBorders>
              <w:bottom w:val="single" w:color="000000" w:sz="10" w:space="0"/>
            </w:tcBorders>
            <w:shd w:val="clear" w:color="auto" w:fill="auto"/>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标段：</w:t>
            </w:r>
          </w:p>
        </w:tc>
        <w:tc>
          <w:tcPr>
            <w:tcW w:w="2078" w:type="dxa"/>
            <w:gridSpan w:val="6"/>
            <w:tcBorders>
              <w:bottom w:val="single" w:color="000000" w:sz="10" w:space="0"/>
            </w:tcBorders>
            <w:shd w:val="clear" w:color="auto" w:fill="auto"/>
            <w:vAlign w:val="center"/>
          </w:tcPr>
          <w:p>
            <w:pPr>
              <w:spacing w:line="232" w:lineRule="auto"/>
              <w:jc w:val="right"/>
              <w:rPr>
                <w:rFonts w:ascii="黑体" w:hAnsi="黑体" w:eastAsia="黑体" w:cs="黑体"/>
                <w:color w:val="000000"/>
                <w:spacing w:val="-2"/>
              </w:rPr>
            </w:pPr>
            <w:r>
              <w:rPr>
                <w:rFonts w:ascii="黑体" w:hAnsi="黑体" w:eastAsia="黑体" w:cs="黑体"/>
                <w:color w:val="000000"/>
                <w:spacing w:val="-2"/>
              </w:rPr>
              <w:t>第2页 共2页</w:t>
            </w:r>
          </w:p>
        </w:tc>
      </w:tr>
      <w:tr>
        <w:tblPrEx>
          <w:tblCellMar>
            <w:top w:w="0" w:type="dxa"/>
            <w:left w:w="0" w:type="dxa"/>
            <w:bottom w:w="0" w:type="dxa"/>
            <w:right w:w="0" w:type="dxa"/>
          </w:tblCellMar>
        </w:tblPrEx>
        <w:trPr>
          <w:gridAfter w:val="1"/>
          <w:wAfter w:w="19" w:type="dxa"/>
          <w:trHeight w:val="300" w:hRule="exact"/>
        </w:trPr>
        <w:tc>
          <w:tcPr>
            <w:tcW w:w="347" w:type="dxa"/>
            <w:vMerge w:val="restart"/>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序号</w:t>
            </w:r>
          </w:p>
        </w:tc>
        <w:tc>
          <w:tcPr>
            <w:tcW w:w="2836" w:type="dxa"/>
            <w:gridSpan w:val="6"/>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项目名称</w:t>
            </w:r>
          </w:p>
        </w:tc>
        <w:tc>
          <w:tcPr>
            <w:tcW w:w="2693" w:type="dxa"/>
            <w:gridSpan w:val="4"/>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项目特征描述</w:t>
            </w:r>
          </w:p>
        </w:tc>
        <w:tc>
          <w:tcPr>
            <w:tcW w:w="567" w:type="dxa"/>
            <w:gridSpan w:val="3"/>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hint="eastAsia" w:ascii="黑体" w:hAnsi="黑体" w:eastAsia="黑体" w:cs="黑体"/>
                <w:color w:val="000000"/>
                <w:spacing w:val="-2"/>
              </w:rPr>
              <w:t>工程量</w:t>
            </w:r>
          </w:p>
        </w:tc>
        <w:tc>
          <w:tcPr>
            <w:tcW w:w="992" w:type="dxa"/>
            <w:gridSpan w:val="2"/>
            <w:vMerge w:val="restart"/>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工程量</w:t>
            </w:r>
            <w:r>
              <w:rPr>
                <w:rFonts w:hint="eastAsia" w:ascii="黑体" w:hAnsi="黑体" w:eastAsia="黑体" w:cs="黑体"/>
                <w:color w:val="000000"/>
                <w:spacing w:val="-2"/>
              </w:rPr>
              <w:t>(费率%)</w:t>
            </w:r>
          </w:p>
        </w:tc>
        <w:tc>
          <w:tcPr>
            <w:tcW w:w="2977" w:type="dxa"/>
            <w:gridSpan w:val="8"/>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金额（元）</w:t>
            </w:r>
          </w:p>
        </w:tc>
      </w:tr>
      <w:tr>
        <w:tblPrEx>
          <w:tblCellMar>
            <w:top w:w="0" w:type="dxa"/>
            <w:left w:w="0" w:type="dxa"/>
            <w:bottom w:w="0" w:type="dxa"/>
            <w:right w:w="0" w:type="dxa"/>
          </w:tblCellMar>
        </w:tblPrEx>
        <w:trPr>
          <w:gridAfter w:val="1"/>
          <w:wAfter w:w="19" w:type="dxa"/>
          <w:trHeight w:val="301" w:hRule="exact"/>
        </w:trPr>
        <w:tc>
          <w:tcPr>
            <w:tcW w:w="347" w:type="dxa"/>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tc>
        <w:tc>
          <w:tcPr>
            <w:tcW w:w="2836" w:type="dxa"/>
            <w:gridSpan w:val="6"/>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2693"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567"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9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113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综合单价</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其中</w:t>
            </w:r>
          </w:p>
        </w:tc>
      </w:tr>
      <w:tr>
        <w:tblPrEx>
          <w:tblCellMar>
            <w:top w:w="0" w:type="dxa"/>
            <w:left w:w="0" w:type="dxa"/>
            <w:bottom w:w="0" w:type="dxa"/>
            <w:right w:w="0" w:type="dxa"/>
          </w:tblCellMar>
        </w:tblPrEx>
        <w:trPr>
          <w:gridAfter w:val="1"/>
          <w:wAfter w:w="19" w:type="dxa"/>
          <w:trHeight w:val="287" w:hRule="exact"/>
        </w:trPr>
        <w:tc>
          <w:tcPr>
            <w:tcW w:w="347" w:type="dxa"/>
            <w:vMerge w:val="continue"/>
            <w:tcBorders>
              <w:top w:val="single" w:color="000000" w:sz="10" w:space="0"/>
              <w:left w:val="single" w:color="000000" w:sz="10" w:space="0"/>
              <w:bottom w:val="single" w:color="000000" w:sz="4" w:space="0"/>
              <w:right w:val="single" w:color="000000" w:sz="4" w:space="0"/>
            </w:tcBorders>
            <w:shd w:val="clear" w:color="auto" w:fill="FFFFFF"/>
            <w:vAlign w:val="center"/>
          </w:tcPr>
          <w:p/>
        </w:tc>
        <w:tc>
          <w:tcPr>
            <w:tcW w:w="2836" w:type="dxa"/>
            <w:gridSpan w:val="6"/>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2693" w:type="dxa"/>
            <w:gridSpan w:val="4"/>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567" w:type="dxa"/>
            <w:gridSpan w:val="3"/>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992" w:type="dxa"/>
            <w:gridSpan w:val="2"/>
            <w:vMerge w:val="continue"/>
            <w:tcBorders>
              <w:top w:val="single" w:color="000000" w:sz="10" w:space="0"/>
              <w:left w:val="single" w:color="000000" w:sz="4" w:space="0"/>
              <w:bottom w:val="single" w:color="000000" w:sz="4" w:space="0"/>
              <w:right w:val="single" w:color="000000" w:sz="4" w:space="0"/>
            </w:tcBorders>
            <w:shd w:val="clear" w:color="auto" w:fill="FFFFFF"/>
            <w:vAlign w:val="center"/>
          </w:tcPr>
          <w:p/>
        </w:tc>
        <w:tc>
          <w:tcPr>
            <w:tcW w:w="113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暂估价</w:t>
            </w:r>
          </w:p>
        </w:tc>
      </w:tr>
      <w:tr>
        <w:tblPrEx>
          <w:tblCellMar>
            <w:top w:w="0" w:type="dxa"/>
            <w:left w:w="0" w:type="dxa"/>
            <w:bottom w:w="0" w:type="dxa"/>
            <w:right w:w="0" w:type="dxa"/>
          </w:tblCellMar>
        </w:tblPrEx>
        <w:trPr>
          <w:gridAfter w:val="1"/>
          <w:wAfter w:w="19" w:type="dxa"/>
          <w:trHeight w:val="1222"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bookmarkStart w:id="16" w:name="b15分部小计"/>
            <w:bookmarkEnd w:id="16"/>
            <w:r>
              <w:rPr>
                <w:rFonts w:ascii="宋体" w:hAnsi="宋体" w:cs="宋体"/>
                <w:color w:val="000000"/>
                <w:spacing w:val="-2"/>
              </w:rPr>
              <w:t>1</w:t>
            </w: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大型机械设备进出场及安拆</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1、机械设备规格型号：由投标人自行考虑，包干使用，结算不调整</w:t>
            </w:r>
          </w:p>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hint="eastAsia" w:ascii="宋体" w:hAnsi="宋体" w:cs="宋体"/>
                <w:color w:val="000000"/>
                <w:spacing w:val="-2"/>
              </w:rPr>
              <w:t>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3359.03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r>
      <w:tr>
        <w:tblPrEx>
          <w:tblCellMar>
            <w:top w:w="0" w:type="dxa"/>
            <w:left w:w="0" w:type="dxa"/>
            <w:bottom w:w="0" w:type="dxa"/>
            <w:right w:w="0" w:type="dxa"/>
          </w:tblCellMar>
        </w:tblPrEx>
        <w:trPr>
          <w:gridAfter w:val="1"/>
          <w:wAfter w:w="19" w:type="dxa"/>
          <w:trHeight w:val="330"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压路机(振动压路机) 场外运输费用</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hint="eastAsia" w:ascii="宋体" w:hAnsi="宋体" w:cs="宋体"/>
                <w:color w:val="000000"/>
                <w:spacing w:val="-2"/>
              </w:rPr>
            </w:pPr>
            <w:r>
              <w:rPr>
                <w:rFonts w:hint="eastAsia" w:ascii="宋体" w:hAnsi="宋体" w:cs="宋体"/>
                <w:color w:val="000000"/>
                <w:spacing w:val="-2"/>
              </w:rPr>
              <w:t>0.5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4271.24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gridAfter w:val="1"/>
          <w:wAfter w:w="19" w:type="dxa"/>
          <w:trHeight w:val="330"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安全文明施工费</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hint="eastAsia" w:ascii="宋体" w:hAnsi="宋体" w:cs="宋体"/>
                <w:color w:val="000000"/>
                <w:spacing w:val="-2"/>
              </w:rPr>
              <w:t>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gridAfter w:val="1"/>
          <w:wAfter w:w="19" w:type="dxa"/>
          <w:trHeight w:val="344"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基本费</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hint="eastAsia" w:ascii="宋体" w:hAnsi="宋体" w:cs="宋体"/>
                <w:color w:val="000000"/>
                <w:spacing w:val="-2"/>
              </w:rPr>
              <w:t>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1.2</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gridAfter w:val="1"/>
          <w:wAfter w:w="19" w:type="dxa"/>
          <w:trHeight w:val="343"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扬尘污染防治增加费</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hint="eastAsia" w:ascii="宋体" w:hAnsi="宋体" w:cs="宋体"/>
                <w:color w:val="000000"/>
                <w:spacing w:val="-2"/>
              </w:rPr>
              <w:t>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0.31</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gridAfter w:val="1"/>
          <w:wAfter w:w="19" w:type="dxa"/>
          <w:trHeight w:val="330"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已完工程及设备保护</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hint="eastAsia" w:ascii="宋体" w:hAnsi="宋体" w:cs="宋体"/>
                <w:color w:val="000000"/>
                <w:spacing w:val="-2"/>
              </w:rPr>
              <w:t>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0.01</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gridAfter w:val="1"/>
          <w:wAfter w:w="19" w:type="dxa"/>
          <w:trHeight w:val="344"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临时设施</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hint="eastAsia" w:ascii="宋体" w:hAnsi="宋体" w:cs="宋体"/>
                <w:color w:val="000000"/>
                <w:spacing w:val="-2"/>
              </w:rPr>
              <w:t>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1.65</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gridAfter w:val="1"/>
          <w:wAfter w:w="19" w:type="dxa"/>
          <w:trHeight w:val="344"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新冠疫情常态化防控</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hint="eastAsia" w:ascii="宋体" w:hAnsi="宋体" w:cs="宋体"/>
                <w:color w:val="000000"/>
                <w:spacing w:val="-2"/>
              </w:rPr>
              <w:t>1</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hint="eastAsia" w:ascii="宋体" w:hAnsi="宋体" w:cs="宋体"/>
                <w:color w:val="000000"/>
                <w:spacing w:val="-2"/>
              </w:rPr>
              <w:t>0.3</w:t>
            </w: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gridAfter w:val="1"/>
          <w:wAfter w:w="19" w:type="dxa"/>
          <w:trHeight w:val="3783"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施工护栏</w:t>
            </w:r>
          </w:p>
          <w:p>
            <w:pPr>
              <w:spacing w:line="232" w:lineRule="auto"/>
              <w:rPr>
                <w:rFonts w:ascii="宋体" w:hAnsi="宋体" w:cs="宋体"/>
                <w:color w:val="000000"/>
                <w:spacing w:val="-2"/>
              </w:rPr>
            </w:pPr>
            <w:r>
              <w:rPr>
                <w:rFonts w:ascii="宋体" w:hAnsi="宋体" w:cs="宋体"/>
                <w:color w:val="000000"/>
                <w:spacing w:val="-2"/>
              </w:rPr>
              <w:t>【项目特征】</w:t>
            </w:r>
          </w:p>
          <w:p>
            <w:pPr>
              <w:spacing w:line="232" w:lineRule="auto"/>
              <w:rPr>
                <w:rFonts w:ascii="宋体" w:hAnsi="宋体" w:cs="宋体"/>
                <w:color w:val="000000"/>
                <w:spacing w:val="-2"/>
              </w:rPr>
            </w:pPr>
            <w:r>
              <w:rPr>
                <w:rFonts w:ascii="宋体" w:hAnsi="宋体" w:cs="宋体"/>
                <w:color w:val="000000"/>
                <w:spacing w:val="-2"/>
              </w:rPr>
              <w:t>1、施工围挡材质：型钢骨架、彩钢瓦挡板</w:t>
            </w:r>
          </w:p>
          <w:p>
            <w:pPr>
              <w:spacing w:line="232" w:lineRule="auto"/>
              <w:rPr>
                <w:rFonts w:ascii="宋体" w:hAnsi="宋体" w:cs="宋体"/>
                <w:color w:val="000000"/>
                <w:spacing w:val="-2"/>
              </w:rPr>
            </w:pPr>
            <w:r>
              <w:rPr>
                <w:rFonts w:ascii="宋体" w:hAnsi="宋体" w:cs="宋体"/>
                <w:color w:val="000000"/>
                <w:spacing w:val="-2"/>
              </w:rPr>
              <w:t>2、围挡高度：3m</w:t>
            </w:r>
          </w:p>
          <w:p>
            <w:pPr>
              <w:spacing w:line="232" w:lineRule="auto"/>
              <w:rPr>
                <w:rFonts w:ascii="宋体" w:hAnsi="宋体" w:cs="宋体"/>
                <w:color w:val="000000"/>
                <w:spacing w:val="-2"/>
              </w:rPr>
            </w:pPr>
            <w:r>
              <w:rPr>
                <w:rFonts w:ascii="宋体" w:hAnsi="宋体" w:cs="宋体"/>
                <w:color w:val="000000"/>
                <w:spacing w:val="-2"/>
              </w:rPr>
              <w:t>3、外表处理：全部覆盖人法草皮，张贴工艺广告、告示及安全标语等不少于2/3面积</w:t>
            </w:r>
          </w:p>
          <w:p>
            <w:pPr>
              <w:spacing w:line="232" w:lineRule="auto"/>
              <w:rPr>
                <w:rFonts w:ascii="宋体" w:hAnsi="宋体" w:cs="宋体"/>
                <w:color w:val="000000"/>
                <w:spacing w:val="-2"/>
              </w:rPr>
            </w:pPr>
            <w:r>
              <w:rPr>
                <w:rFonts w:ascii="宋体" w:hAnsi="宋体" w:cs="宋体"/>
                <w:color w:val="000000"/>
                <w:spacing w:val="-2"/>
              </w:rPr>
              <w:t>4、其它：符合主管部门及业主的标准化要求</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gridAfter w:val="1"/>
          <w:wAfter w:w="19" w:type="dxa"/>
          <w:trHeight w:val="863" w:hRule="exact"/>
        </w:trPr>
        <w:tc>
          <w:tcPr>
            <w:tcW w:w="347" w:type="dxa"/>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8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彩钢板护栏 彩钢板围栏搭拆</w:t>
            </w:r>
          </w:p>
        </w:tc>
        <w:tc>
          <w:tcPr>
            <w:tcW w:w="26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hint="eastAsia" w:ascii="宋体" w:hAnsi="宋体" w:cs="宋体"/>
                <w:color w:val="000000"/>
                <w:spacing w:val="-2"/>
              </w:rPr>
              <w:t>1</w:t>
            </w:r>
            <w:r>
              <w:rPr>
                <w:rFonts w:ascii="宋体" w:hAnsi="宋体" w:cs="宋体"/>
                <w:color w:val="000000"/>
                <w:spacing w:val="-2"/>
              </w:rPr>
              <w:t>0</w:t>
            </w:r>
            <w:r>
              <w:rPr>
                <w:rFonts w:hint="eastAsia" w:ascii="宋体" w:hAnsi="宋体" w:cs="宋体"/>
                <w:color w:val="000000"/>
                <w:spacing w:val="-2"/>
              </w:rPr>
              <w:t>57</w:t>
            </w:r>
            <w:r>
              <w:rPr>
                <w:rFonts w:ascii="宋体" w:hAnsi="宋体" w:cs="宋体"/>
                <w:color w:val="000000"/>
                <w:spacing w:val="-2"/>
              </w:rPr>
              <w:t>m</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7630.12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4"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115" w:hRule="exact"/>
        </w:trPr>
        <w:tc>
          <w:tcPr>
            <w:tcW w:w="10431" w:type="dxa"/>
            <w:gridSpan w:val="25"/>
            <w:tcBorders>
              <w:top w:val="single" w:color="000000" w:sz="10" w:space="0"/>
            </w:tcBorders>
          </w:tcPr>
          <w:p/>
        </w:tc>
      </w:tr>
      <w:tr>
        <w:tblPrEx>
          <w:tblCellMar>
            <w:top w:w="0" w:type="dxa"/>
            <w:left w:w="0" w:type="dxa"/>
            <w:bottom w:w="0" w:type="dxa"/>
            <w:right w:w="0" w:type="dxa"/>
          </w:tblCellMar>
        </w:tblPrEx>
        <w:trPr>
          <w:trHeight w:val="673" w:hRule="exact"/>
        </w:trPr>
        <w:tc>
          <w:tcPr>
            <w:tcW w:w="10431" w:type="dxa"/>
            <w:gridSpan w:val="25"/>
            <w:shd w:val="clear" w:color="auto" w:fill="auto"/>
            <w:vAlign w:val="center"/>
          </w:tcPr>
          <w:p>
            <w:pPr>
              <w:spacing w:line="232" w:lineRule="auto"/>
              <w:jc w:val="center"/>
              <w:rPr>
                <w:rFonts w:ascii="宋体" w:hAnsi="宋体" w:cs="宋体"/>
                <w:b/>
                <w:color w:val="000000"/>
                <w:spacing w:val="-2"/>
                <w:sz w:val="32"/>
              </w:rPr>
            </w:pPr>
            <w:r>
              <w:rPr>
                <w:rFonts w:ascii="宋体" w:hAnsi="宋体" w:cs="宋体"/>
                <w:b/>
                <w:color w:val="000000"/>
                <w:spacing w:val="-2"/>
                <w:sz w:val="32"/>
              </w:rPr>
              <w:t>规费、税金项目计价表</w:t>
            </w:r>
          </w:p>
        </w:tc>
      </w:tr>
      <w:tr>
        <w:tblPrEx>
          <w:tblCellMar>
            <w:top w:w="0" w:type="dxa"/>
            <w:left w:w="0" w:type="dxa"/>
            <w:bottom w:w="0" w:type="dxa"/>
            <w:right w:w="0" w:type="dxa"/>
          </w:tblCellMar>
        </w:tblPrEx>
        <w:trPr>
          <w:trHeight w:val="344" w:hRule="exact"/>
        </w:trPr>
        <w:tc>
          <w:tcPr>
            <w:tcW w:w="5215" w:type="dxa"/>
            <w:gridSpan w:val="9"/>
            <w:tcBorders>
              <w:bottom w:val="single" w:color="000000" w:sz="10" w:space="0"/>
            </w:tcBorders>
            <w:shd w:val="clear" w:color="auto" w:fill="auto"/>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工程名称：泰安镇金泰路道路提升改造工程</w:t>
            </w:r>
          </w:p>
        </w:tc>
        <w:tc>
          <w:tcPr>
            <w:tcW w:w="3138" w:type="dxa"/>
            <w:gridSpan w:val="10"/>
            <w:tcBorders>
              <w:bottom w:val="single" w:color="000000" w:sz="10" w:space="0"/>
            </w:tcBorders>
            <w:shd w:val="clear" w:color="auto" w:fill="auto"/>
            <w:vAlign w:val="center"/>
          </w:tcPr>
          <w:p>
            <w:pPr>
              <w:spacing w:line="232" w:lineRule="auto"/>
              <w:rPr>
                <w:rFonts w:ascii="黑体" w:hAnsi="黑体" w:eastAsia="黑体" w:cs="黑体"/>
                <w:color w:val="000000"/>
                <w:spacing w:val="-2"/>
              </w:rPr>
            </w:pPr>
            <w:r>
              <w:rPr>
                <w:rFonts w:ascii="黑体" w:hAnsi="黑体" w:eastAsia="黑体" w:cs="黑体"/>
                <w:color w:val="000000"/>
                <w:spacing w:val="-2"/>
              </w:rPr>
              <w:t>标段：</w:t>
            </w:r>
          </w:p>
        </w:tc>
        <w:tc>
          <w:tcPr>
            <w:tcW w:w="2078" w:type="dxa"/>
            <w:gridSpan w:val="6"/>
            <w:tcBorders>
              <w:bottom w:val="single" w:color="000000" w:sz="10" w:space="0"/>
            </w:tcBorders>
            <w:shd w:val="clear" w:color="auto" w:fill="auto"/>
            <w:vAlign w:val="center"/>
          </w:tcPr>
          <w:p>
            <w:pPr>
              <w:spacing w:line="232" w:lineRule="auto"/>
              <w:jc w:val="right"/>
              <w:rPr>
                <w:rFonts w:ascii="黑体" w:hAnsi="黑体" w:eastAsia="黑体" w:cs="黑体"/>
                <w:color w:val="000000"/>
                <w:spacing w:val="-2"/>
              </w:rPr>
            </w:pPr>
            <w:r>
              <w:rPr>
                <w:rFonts w:ascii="黑体" w:hAnsi="黑体" w:eastAsia="黑体" w:cs="黑体"/>
                <w:color w:val="000000"/>
                <w:spacing w:val="-2"/>
              </w:rPr>
              <w:t>第1页 共1页</w:t>
            </w:r>
          </w:p>
        </w:tc>
      </w:tr>
      <w:tr>
        <w:tblPrEx>
          <w:tblCellMar>
            <w:top w:w="0" w:type="dxa"/>
            <w:left w:w="0" w:type="dxa"/>
            <w:bottom w:w="0" w:type="dxa"/>
            <w:right w:w="0" w:type="dxa"/>
          </w:tblCellMar>
        </w:tblPrEx>
        <w:trPr>
          <w:trHeight w:val="674" w:hRule="exact"/>
        </w:trPr>
        <w:tc>
          <w:tcPr>
            <w:tcW w:w="817" w:type="dxa"/>
            <w:gridSpan w:val="3"/>
            <w:tcBorders>
              <w:top w:val="single" w:color="000000" w:sz="10" w:space="0"/>
              <w:left w:val="single" w:color="000000" w:sz="10"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序号</w:t>
            </w:r>
          </w:p>
        </w:tc>
        <w:tc>
          <w:tcPr>
            <w:tcW w:w="2292" w:type="dxa"/>
            <w:gridSpan w:val="3"/>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项目名称</w:t>
            </w:r>
          </w:p>
        </w:tc>
        <w:tc>
          <w:tcPr>
            <w:tcW w:w="3253" w:type="dxa"/>
            <w:gridSpan w:val="7"/>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计算基础</w:t>
            </w:r>
          </w:p>
        </w:tc>
        <w:tc>
          <w:tcPr>
            <w:tcW w:w="1633" w:type="dxa"/>
            <w:gridSpan w:val="4"/>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计算基数(元)</w:t>
            </w:r>
          </w:p>
        </w:tc>
        <w:tc>
          <w:tcPr>
            <w:tcW w:w="1304" w:type="dxa"/>
            <w:gridSpan w:val="5"/>
            <w:tcBorders>
              <w:top w:val="single" w:color="000000" w:sz="10" w:space="0"/>
              <w:left w:val="single" w:color="000000" w:sz="4" w:space="0"/>
              <w:bottom w:val="single" w:color="000000" w:sz="4" w:space="0"/>
              <w:right w:val="single" w:color="000000" w:sz="4" w:space="0"/>
            </w:tcBorders>
            <w:shd w:val="clear" w:color="auto" w:fill="FFFFFF"/>
            <w:vAlign w:val="center"/>
          </w:tcPr>
          <w:p>
            <w:pPr>
              <w:spacing w:line="232" w:lineRule="auto"/>
              <w:jc w:val="center"/>
              <w:rPr>
                <w:rFonts w:ascii="黑体" w:hAnsi="黑体" w:eastAsia="黑体" w:cs="黑体"/>
                <w:color w:val="000000"/>
                <w:spacing w:val="-2"/>
              </w:rPr>
            </w:pPr>
            <w:r>
              <w:rPr>
                <w:rFonts w:ascii="黑体" w:hAnsi="黑体" w:eastAsia="黑体" w:cs="黑体"/>
                <w:color w:val="000000"/>
                <w:spacing w:val="-2"/>
              </w:rPr>
              <w:t>计算费率(％)</w:t>
            </w:r>
          </w:p>
        </w:tc>
        <w:tc>
          <w:tcPr>
            <w:tcW w:w="1132" w:type="dxa"/>
            <w:gridSpan w:val="3"/>
            <w:tcBorders>
              <w:top w:val="single" w:color="000000" w:sz="10" w:space="0"/>
              <w:left w:val="single" w:color="000000" w:sz="4" w:space="0"/>
              <w:bottom w:val="single" w:color="000000" w:sz="4" w:space="0"/>
              <w:right w:val="single" w:color="000000" w:sz="10" w:space="0"/>
            </w:tcBorders>
            <w:shd w:val="clear" w:color="auto" w:fill="FFFFFF"/>
            <w:vAlign w:val="center"/>
          </w:tcPr>
          <w:p>
            <w:pPr>
              <w:spacing w:line="232" w:lineRule="auto"/>
              <w:jc w:val="center"/>
              <w:rPr>
                <w:rFonts w:ascii="黑体" w:hAnsi="黑体" w:eastAsia="黑体" w:cs="黑体"/>
                <w:color w:val="000000"/>
                <w:spacing w:val="-2"/>
              </w:rPr>
            </w:pPr>
          </w:p>
        </w:tc>
      </w:tr>
      <w:tr>
        <w:tblPrEx>
          <w:tblCellMar>
            <w:top w:w="0" w:type="dxa"/>
            <w:left w:w="0" w:type="dxa"/>
            <w:bottom w:w="0" w:type="dxa"/>
            <w:right w:w="0" w:type="dxa"/>
          </w:tblCellMar>
        </w:tblPrEx>
        <w:trPr>
          <w:trHeight w:val="730"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1</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规费</w:t>
            </w: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环境保护税+社会保险费+住房公积金</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100.000</w:t>
            </w: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85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1.1</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社会保险费</w:t>
            </w: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2.000</w:t>
            </w: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838"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1.2</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住房公积金</w:t>
            </w: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0.340</w:t>
            </w: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850"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1.3</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环境保护税</w:t>
            </w: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分部分项工程费+措施项目费+其他项目费-除税工程设备费</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 xml:space="preserve"> </w:t>
            </w: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990"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r>
              <w:rPr>
                <w:rFonts w:ascii="宋体" w:hAnsi="宋体" w:cs="宋体"/>
                <w:color w:val="000000"/>
                <w:spacing w:val="-2"/>
              </w:rPr>
              <w:t>2</w:t>
            </w: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税金</w:t>
            </w: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r>
              <w:rPr>
                <w:rFonts w:ascii="宋体" w:hAnsi="宋体" w:cs="宋体"/>
                <w:color w:val="000000"/>
                <w:spacing w:val="-2"/>
              </w:rPr>
              <w:t>分部分项工程费+措施项目费+其他项目费+规费-除税甲供材料和甲供设备费/1.01</w:t>
            </w: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r>
              <w:rPr>
                <w:rFonts w:ascii="宋体" w:hAnsi="宋体" w:cs="宋体"/>
                <w:color w:val="000000"/>
                <w:spacing w:val="-2"/>
              </w:rPr>
              <w:t>9.000</w:t>
            </w: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30"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29"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344" w:hRule="exact"/>
        </w:trPr>
        <w:tc>
          <w:tcPr>
            <w:tcW w:w="817" w:type="dxa"/>
            <w:gridSpan w:val="3"/>
            <w:tcBorders>
              <w:top w:val="single" w:color="000000" w:sz="4" w:space="0"/>
              <w:left w:val="single" w:color="000000" w:sz="10" w:space="0"/>
              <w:bottom w:val="single" w:color="000000" w:sz="4" w:space="0"/>
              <w:right w:val="single" w:color="000000" w:sz="4" w:space="0"/>
            </w:tcBorders>
            <w:shd w:val="clear" w:color="auto" w:fill="auto"/>
            <w:vAlign w:val="center"/>
          </w:tcPr>
          <w:p>
            <w:pPr>
              <w:spacing w:line="232" w:lineRule="auto"/>
              <w:jc w:val="center"/>
              <w:rPr>
                <w:rFonts w:ascii="宋体" w:hAnsi="宋体" w:cs="宋体"/>
                <w:color w:val="000000"/>
                <w:spacing w:val="-2"/>
              </w:rPr>
            </w:pPr>
          </w:p>
        </w:tc>
        <w:tc>
          <w:tcPr>
            <w:tcW w:w="22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32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rPr>
                <w:rFonts w:ascii="宋体" w:hAnsi="宋体" w:cs="宋体"/>
                <w:color w:val="000000"/>
                <w:spacing w:val="-2"/>
              </w:rPr>
            </w:pPr>
          </w:p>
        </w:tc>
        <w:tc>
          <w:tcPr>
            <w:tcW w:w="16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auto"/>
              <w:jc w:val="right"/>
              <w:rPr>
                <w:rFonts w:ascii="宋体" w:hAnsi="宋体" w:cs="宋体"/>
                <w:color w:val="000000"/>
                <w:spacing w:val="-2"/>
              </w:rPr>
            </w:pPr>
          </w:p>
        </w:tc>
        <w:tc>
          <w:tcPr>
            <w:tcW w:w="1132" w:type="dxa"/>
            <w:gridSpan w:val="3"/>
            <w:tcBorders>
              <w:top w:val="single" w:color="000000" w:sz="4" w:space="0"/>
              <w:left w:val="single" w:color="000000" w:sz="4" w:space="0"/>
              <w:bottom w:val="single" w:color="000000" w:sz="4" w:space="0"/>
              <w:right w:val="single" w:color="000000" w:sz="10" w:space="0"/>
            </w:tcBorders>
            <w:shd w:val="clear" w:color="auto" w:fill="auto"/>
            <w:vAlign w:val="center"/>
          </w:tcPr>
          <w:p>
            <w:pPr>
              <w:spacing w:line="232" w:lineRule="auto"/>
              <w:jc w:val="right"/>
              <w:rPr>
                <w:rFonts w:ascii="宋体" w:hAnsi="宋体" w:cs="宋体"/>
                <w:color w:val="000000"/>
                <w:spacing w:val="-2"/>
              </w:rPr>
            </w:pPr>
          </w:p>
        </w:tc>
      </w:tr>
      <w:tr>
        <w:tblPrEx>
          <w:tblCellMar>
            <w:top w:w="0" w:type="dxa"/>
            <w:left w:w="0" w:type="dxa"/>
            <w:bottom w:w="0" w:type="dxa"/>
            <w:right w:w="0" w:type="dxa"/>
          </w:tblCellMar>
        </w:tblPrEx>
        <w:trPr>
          <w:trHeight w:val="71" w:hRule="exact"/>
        </w:trPr>
        <w:tc>
          <w:tcPr>
            <w:tcW w:w="10431" w:type="dxa"/>
            <w:gridSpan w:val="25"/>
            <w:tcBorders>
              <w:top w:val="single" w:color="000000" w:sz="10" w:space="0"/>
            </w:tcBorders>
          </w:tcPr>
          <w:p/>
        </w:tc>
      </w:tr>
      <w:tr>
        <w:tblPrEx>
          <w:tblCellMar>
            <w:top w:w="0" w:type="dxa"/>
            <w:left w:w="0" w:type="dxa"/>
            <w:bottom w:w="0" w:type="dxa"/>
            <w:right w:w="0" w:type="dxa"/>
          </w:tblCellMar>
        </w:tblPrEx>
        <w:trPr>
          <w:trHeight w:val="444" w:hRule="exact"/>
        </w:trPr>
        <w:tc>
          <w:tcPr>
            <w:tcW w:w="2536" w:type="dxa"/>
            <w:gridSpan w:val="5"/>
          </w:tcPr>
          <w:p/>
        </w:tc>
        <w:tc>
          <w:tcPr>
            <w:tcW w:w="7895" w:type="dxa"/>
            <w:gridSpan w:val="20"/>
            <w:shd w:val="clear" w:color="auto" w:fill="auto"/>
          </w:tcPr>
          <w:p>
            <w:pPr>
              <w:spacing w:line="232" w:lineRule="auto"/>
              <w:jc w:val="right"/>
              <w:rPr>
                <w:rFonts w:ascii="宋体" w:hAnsi="宋体" w:cs="宋体"/>
                <w:b/>
                <w:color w:val="000000"/>
                <w:spacing w:val="-2"/>
                <w:sz w:val="18"/>
              </w:rPr>
            </w:pPr>
            <w:r>
              <w:rPr>
                <w:rFonts w:ascii="宋体" w:hAnsi="宋体" w:cs="宋体"/>
                <w:b/>
                <w:color w:val="000000"/>
                <w:spacing w:val="-2"/>
                <w:sz w:val="18"/>
              </w:rPr>
              <w:t>【新点2013清单造价江苏版 V10.3.5】</w:t>
            </w:r>
          </w:p>
        </w:tc>
      </w:tr>
    </w:tbl>
    <w:p>
      <w:pPr>
        <w:pStyle w:val="6"/>
        <w:ind w:firstLine="2700" w:firstLineChars="750"/>
        <w:rPr>
          <w:rFonts w:ascii="仿宋_GB2312" w:hAnsi="宋体" w:eastAsia="仿宋_GB2312"/>
          <w:sz w:val="36"/>
        </w:rPr>
      </w:pPr>
      <w:r>
        <w:rPr>
          <w:rFonts w:hint="eastAsia" w:ascii="仿宋_GB2312" w:hAnsi="宋体" w:eastAsia="仿宋_GB2312"/>
          <w:sz w:val="36"/>
        </w:rPr>
        <w:t>一 、投标函</w:t>
      </w:r>
    </w:p>
    <w:p>
      <w:pPr>
        <w:pStyle w:val="6"/>
        <w:spacing w:line="360" w:lineRule="exact"/>
        <w:ind w:firstLine="480" w:firstLineChars="200"/>
        <w:rPr>
          <w:rFonts w:ascii="仿宋_GB2312" w:hAnsi="宋体" w:eastAsia="仿宋_GB2312"/>
          <w:color w:val="000000"/>
          <w:sz w:val="24"/>
        </w:rPr>
      </w:pPr>
      <w:r>
        <w:rPr>
          <w:rFonts w:hint="eastAsia" w:ascii="仿宋_GB2312" w:hAnsi="宋体" w:eastAsia="仿宋_GB2312"/>
          <w:sz w:val="24"/>
        </w:rPr>
        <w:t>招标人：</w:t>
      </w:r>
      <w:r>
        <w:rPr>
          <w:rFonts w:hint="eastAsia" w:ascii="仿宋_GB2312" w:hAnsi="宋体" w:eastAsia="仿宋_GB2312"/>
          <w:snapToGrid w:val="0"/>
          <w:kern w:val="0"/>
          <w:sz w:val="24"/>
        </w:rPr>
        <w:t xml:space="preserve">        </w:t>
      </w:r>
      <w:r>
        <w:rPr>
          <w:rFonts w:hint="eastAsia" w:ascii="仿宋_GB2312" w:hAnsi="宋体" w:eastAsia="仿宋_GB2312"/>
          <w:color w:val="000000"/>
          <w:sz w:val="24"/>
        </w:rPr>
        <w:t xml:space="preserve">                                   </w:t>
      </w:r>
    </w:p>
    <w:p>
      <w:pPr>
        <w:pStyle w:val="6"/>
        <w:spacing w:line="360" w:lineRule="exact"/>
        <w:ind w:firstLine="480" w:firstLineChars="200"/>
        <w:rPr>
          <w:rFonts w:ascii="仿宋_GB2312" w:hAnsi="宋体" w:eastAsia="仿宋_GB2312"/>
          <w:sz w:val="24"/>
        </w:rPr>
      </w:pPr>
      <w:r>
        <w:rPr>
          <w:rFonts w:ascii="仿宋_GB2312" w:hAnsi="宋体" w:eastAsia="仿宋_GB2312"/>
          <w:sz w:val="24"/>
        </w:rPr>
        <mc:AlternateContent>
          <mc:Choice Requires="wps">
            <w:drawing>
              <wp:anchor distT="0" distB="0" distL="114300" distR="114300" simplePos="0" relativeHeight="251660288" behindDoc="0" locked="0" layoutInCell="1" allowOverlap="1">
                <wp:simplePos x="0" y="0"/>
                <wp:positionH relativeFrom="column">
                  <wp:posOffset>584200</wp:posOffset>
                </wp:positionH>
                <wp:positionV relativeFrom="paragraph">
                  <wp:posOffset>13970</wp:posOffset>
                </wp:positionV>
                <wp:extent cx="2895600" cy="0"/>
                <wp:effectExtent l="0" t="0" r="0" b="0"/>
                <wp:wrapNone/>
                <wp:docPr id="1" name="直线 3"/>
                <wp:cNvGraphicFramePr/>
                <a:graphic xmlns:a="http://schemas.openxmlformats.org/drawingml/2006/main">
                  <a:graphicData uri="http://schemas.microsoft.com/office/word/2010/wordprocessingShape">
                    <wps:wsp>
                      <wps:cNvCnPr/>
                      <wps:spPr>
                        <a:xfrm>
                          <a:off x="0" y="0"/>
                          <a:ext cx="2895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46pt;margin-top:1.1pt;height:0pt;width:228pt;z-index:251660288;mso-width-relative:page;mso-height-relative:page;" filled="f" stroked="t" coordsize="21600,21600" o:gfxdata="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z2nWtMAAAAG&#10;AQAADwAAAAAAAAABACAAAAAiAAAAZHJzL2Rvd25yZXYueG1sUEsBAhQAFAAAAAgAh07iQJawblzo&#10;AQAA2wMAAA4AAAAAAAAAAQAgAAAAIgEAAGRycy9lMm9Eb2MueG1sUEsFBgAAAAAGAAYAWQEAAHwF&#10;AAAAAA==&#10;">
                <v:fill on="f" focussize="0,0"/>
                <v:stroke color="#000000" joinstyle="round"/>
                <v:imagedata o:title=""/>
                <o:lock v:ext="edit" aspectratio="f"/>
              </v:line>
            </w:pict>
          </mc:Fallback>
        </mc:AlternateContent>
      </w:r>
      <w:r>
        <w:rPr>
          <w:rFonts w:hint="eastAsia" w:ascii="仿宋_GB2312" w:hAnsi="宋体" w:eastAsia="仿宋_GB2312"/>
          <w:sz w:val="24"/>
        </w:rPr>
        <w:t>1、根据已收到的</w:t>
      </w:r>
      <w:r>
        <w:rPr>
          <w:rFonts w:hint="eastAsia" w:ascii="仿宋_GB2312" w:hAnsi="宋体" w:eastAsia="仿宋_GB2312"/>
          <w:sz w:val="24"/>
          <w:u w:val="single"/>
        </w:rPr>
        <w:t xml:space="preserve">                </w:t>
      </w:r>
      <w:r>
        <w:rPr>
          <w:rFonts w:hint="eastAsia" w:ascii="仿宋_GB2312" w:hAnsi="宋体" w:eastAsia="仿宋_GB2312"/>
          <w:sz w:val="24"/>
        </w:rPr>
        <w:t>工程的招标文件，遵照《房屋建筑和市政基础设施工程施工招标投标管理办法》的规定，我单位经考察现场和研究上述工程招标文件的投标须知、合同条件、技术规范、现场勘查情况等，我方愿以让利</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%进行投标，按上述合同条件、技术规范、图纸、工程量清单及工程预算的条件承包上述工程的施工、竣工。</w:t>
      </w:r>
    </w:p>
    <w:p>
      <w:pPr>
        <w:pStyle w:val="6"/>
        <w:spacing w:line="360" w:lineRule="exact"/>
        <w:ind w:left="142" w:firstLine="480" w:firstLineChars="200"/>
        <w:rPr>
          <w:rFonts w:ascii="仿宋_GB2312" w:hAnsi="宋体" w:eastAsia="仿宋_GB2312"/>
          <w:sz w:val="24"/>
        </w:rPr>
      </w:pPr>
      <w:r>
        <w:rPr>
          <w:rFonts w:hint="eastAsia" w:ascii="仿宋_GB2312" w:hAnsi="宋体" w:eastAsia="仿宋_GB2312"/>
          <w:sz w:val="24"/>
        </w:rPr>
        <w:t xml:space="preserve">2、一旦我方中标，我方保证在2022年 月  日开工，2022年  月  日竣工或收到开工令按指示开工，即 </w:t>
      </w:r>
      <w:r>
        <w:rPr>
          <w:rFonts w:hint="eastAsia" w:ascii="仿宋_GB2312" w:hAnsi="宋体" w:eastAsia="仿宋_GB2312"/>
          <w:sz w:val="24"/>
          <w:u w:val="single"/>
        </w:rPr>
        <w:t xml:space="preserve">           </w:t>
      </w:r>
      <w:r>
        <w:rPr>
          <w:rFonts w:hint="eastAsia" w:ascii="仿宋_GB2312" w:hAnsi="宋体" w:eastAsia="仿宋_GB2312"/>
          <w:sz w:val="24"/>
        </w:rPr>
        <w:t xml:space="preserve">(日历日)内竣工，并达到 </w:t>
      </w:r>
      <w:r>
        <w:rPr>
          <w:rFonts w:hint="eastAsia" w:ascii="仿宋_GB2312" w:hAnsi="宋体" w:eastAsia="仿宋_GB2312"/>
          <w:sz w:val="24"/>
          <w:u w:val="single"/>
        </w:rPr>
        <w:t xml:space="preserve">             </w:t>
      </w:r>
      <w:r>
        <w:rPr>
          <w:rFonts w:hint="eastAsia" w:ascii="仿宋_GB2312" w:hAnsi="宋体" w:eastAsia="仿宋_GB2312"/>
          <w:sz w:val="24"/>
        </w:rPr>
        <w:t>（质量标准）。</w:t>
      </w:r>
    </w:p>
    <w:p>
      <w:pPr>
        <w:pStyle w:val="6"/>
        <w:spacing w:line="360" w:lineRule="exact"/>
        <w:ind w:firstLine="480" w:firstLineChars="200"/>
        <w:rPr>
          <w:rFonts w:ascii="仿宋_GB2312" w:hAnsi="宋体" w:eastAsia="仿宋_GB2312"/>
          <w:sz w:val="24"/>
        </w:rPr>
      </w:pPr>
      <w:r>
        <w:rPr>
          <w:rFonts w:hint="eastAsia" w:ascii="仿宋_GB2312" w:hAnsi="宋体" w:eastAsia="仿宋_GB2312"/>
          <w:sz w:val="24"/>
        </w:rPr>
        <w:t>3、我方同意所递交的投标文件在“投标须知”前附表规定的投标有效期内有效，在此期间内我方的投标有可能中标，我方将受此约束。</w:t>
      </w:r>
    </w:p>
    <w:p>
      <w:pPr>
        <w:pStyle w:val="6"/>
        <w:spacing w:line="360" w:lineRule="exact"/>
        <w:ind w:firstLine="480" w:firstLineChars="200"/>
        <w:rPr>
          <w:rFonts w:ascii="仿宋_GB2312" w:hAnsi="宋体" w:eastAsia="仿宋_GB2312"/>
          <w:sz w:val="24"/>
        </w:rPr>
      </w:pPr>
      <w:r>
        <w:rPr>
          <w:rFonts w:hint="eastAsia" w:ascii="仿宋_GB2312" w:hAnsi="宋体" w:eastAsia="仿宋_GB2312"/>
          <w:sz w:val="24"/>
        </w:rPr>
        <w:t>4、除非另外达成协议并生效，你方的中标通知书和本投标文件将构成约束我们双方的合同。</w:t>
      </w:r>
    </w:p>
    <w:p>
      <w:pPr>
        <w:pStyle w:val="6"/>
        <w:spacing w:line="360" w:lineRule="exact"/>
        <w:ind w:firstLine="480" w:firstLineChars="200"/>
        <w:rPr>
          <w:rFonts w:ascii="仿宋_GB2312" w:hAnsi="宋体" w:eastAsia="仿宋_GB2312"/>
          <w:sz w:val="24"/>
        </w:rPr>
      </w:pPr>
      <w:r>
        <w:rPr>
          <w:rFonts w:hint="eastAsia" w:ascii="仿宋_GB2312" w:hAnsi="宋体" w:eastAsia="仿宋_GB2312"/>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pPr>
        <w:pStyle w:val="6"/>
        <w:spacing w:line="360" w:lineRule="exact"/>
        <w:ind w:firstLine="480" w:firstLineChars="200"/>
        <w:rPr>
          <w:rFonts w:ascii="仿宋_GB2312" w:hAnsi="宋体" w:eastAsia="仿宋_GB2312"/>
          <w:sz w:val="24"/>
        </w:rPr>
      </w:pPr>
      <w:r>
        <w:rPr>
          <w:rFonts w:hint="eastAsia" w:ascii="仿宋_GB2312" w:hAnsi="宋体" w:eastAsia="仿宋_GB2312"/>
          <w:vanish/>
          <w:sz w:val="24"/>
        </w:rPr>
        <w:t xml:space="preserve">按诺，6/                                                   </w:t>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vanish/>
          <w:sz w:val="24"/>
        </w:rPr>
        <w:pgNum/>
      </w:r>
      <w:r>
        <w:rPr>
          <w:rFonts w:hint="eastAsia" w:ascii="仿宋_GB2312" w:hAnsi="宋体" w:eastAsia="仿宋_GB2312"/>
          <w:sz w:val="24"/>
        </w:rPr>
        <w:t>7、我方承诺为本工程投入的项目人员符合贵公司相关规定，如有虚假，我方愿接受业主的相关处罚，并记入企业的诚信管理档案。</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投标人：(盖章)</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单位地址：</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法定代表人或委托代理人：(盖章)</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邮政编码：</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电话：</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传真：</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开户银行名称：</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银行帐号：</w:t>
      </w:r>
    </w:p>
    <w:p>
      <w:pPr>
        <w:pStyle w:val="6"/>
        <w:spacing w:line="360" w:lineRule="auto"/>
        <w:ind w:firstLine="480" w:firstLineChars="200"/>
        <w:rPr>
          <w:rFonts w:ascii="仿宋_GB2312" w:hAnsi="宋体" w:eastAsia="仿宋_GB2312"/>
          <w:sz w:val="24"/>
        </w:rPr>
      </w:pPr>
      <w:r>
        <w:rPr>
          <w:rFonts w:hint="eastAsia" w:ascii="仿宋_GB2312" w:hAnsi="宋体" w:eastAsia="仿宋_GB2312"/>
          <w:sz w:val="24"/>
        </w:rPr>
        <w:t>开户行地址：</w:t>
      </w:r>
    </w:p>
    <w:p>
      <w:pPr>
        <w:pStyle w:val="6"/>
        <w:spacing w:line="360" w:lineRule="auto"/>
        <w:ind w:firstLine="3720" w:firstLineChars="1550"/>
        <w:rPr>
          <w:rFonts w:ascii="仿宋_GB2312" w:hAnsi="宋体" w:eastAsia="仿宋_GB2312"/>
          <w:sz w:val="24"/>
        </w:rPr>
      </w:pPr>
      <w:r>
        <w:rPr>
          <w:rFonts w:hint="eastAsia" w:ascii="仿宋_GB2312" w:hAnsi="宋体" w:eastAsia="仿宋_GB2312"/>
          <w:sz w:val="24"/>
        </w:rPr>
        <w:t>日期：      年      月      日</w:t>
      </w:r>
    </w:p>
    <w:p>
      <w:pPr>
        <w:pStyle w:val="6"/>
        <w:ind w:firstLine="2100" w:firstLineChars="750"/>
        <w:rPr>
          <w:rFonts w:hAnsi="宋体"/>
          <w:snapToGrid w:val="0"/>
          <w:sz w:val="28"/>
          <w:highlight w:val="white"/>
        </w:rPr>
      </w:pPr>
    </w:p>
    <w:p>
      <w:pPr>
        <w:pStyle w:val="6"/>
        <w:ind w:firstLine="2100" w:firstLineChars="750"/>
        <w:rPr>
          <w:rFonts w:hAnsi="宋体"/>
          <w:snapToGrid w:val="0"/>
          <w:sz w:val="28"/>
          <w:highlight w:val="white"/>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jc w:val="center"/>
        <w:rPr>
          <w:rFonts w:hint="eastAsia" w:ascii="方正小标宋_GBK" w:hAnsi="宋体" w:eastAsia="方正小标宋_GBK" w:cs="宋体"/>
          <w:b/>
          <w:bCs/>
          <w:snapToGrid w:val="0"/>
          <w:kern w:val="21"/>
          <w:position w:val="2"/>
          <w:sz w:val="72"/>
          <w:szCs w:val="72"/>
        </w:rPr>
      </w:pPr>
    </w:p>
    <w:p>
      <w:pPr>
        <w:snapToGrid w:val="0"/>
        <w:jc w:val="center"/>
        <w:rPr>
          <w:rFonts w:hint="eastAsia" w:ascii="方正小标宋_GBK" w:hAnsi="宋体" w:eastAsia="方正小标宋_GBK" w:cs="宋体"/>
          <w:b/>
          <w:bCs/>
          <w:snapToGrid w:val="0"/>
          <w:kern w:val="21"/>
          <w:position w:val="2"/>
          <w:sz w:val="72"/>
          <w:szCs w:val="72"/>
        </w:rPr>
      </w:pPr>
    </w:p>
    <w:p>
      <w:pPr>
        <w:snapToGrid w:val="0"/>
        <w:jc w:val="center"/>
        <w:rPr>
          <w:rFonts w:hint="eastAsia" w:ascii="方正小标宋_GBK" w:hAnsi="宋体" w:eastAsia="方正小标宋_GBK" w:cs="宋体"/>
          <w:b/>
          <w:bCs/>
          <w:snapToGrid w:val="0"/>
          <w:kern w:val="21"/>
          <w:position w:val="2"/>
          <w:sz w:val="72"/>
          <w:szCs w:val="72"/>
        </w:rPr>
      </w:pPr>
    </w:p>
    <w:p>
      <w:pPr>
        <w:snapToGrid w:val="0"/>
        <w:jc w:val="center"/>
        <w:rPr>
          <w:rFonts w:hint="eastAsia" w:ascii="方正小标宋_GBK" w:hAnsi="宋体" w:eastAsia="方正小标宋_GBK" w:cs="宋体"/>
          <w:b/>
          <w:bCs/>
          <w:snapToGrid w:val="0"/>
          <w:kern w:val="21"/>
          <w:position w:val="2"/>
          <w:sz w:val="72"/>
          <w:szCs w:val="72"/>
        </w:rPr>
      </w:pPr>
    </w:p>
    <w:p>
      <w:pPr>
        <w:snapToGrid w:val="0"/>
        <w:jc w:val="center"/>
        <w:rPr>
          <w:rFonts w:ascii="方正小标宋_GBK" w:hAnsi="宋体" w:eastAsia="方正小标宋_GBK" w:cs="宋体"/>
          <w:b/>
          <w:bCs/>
          <w:snapToGrid w:val="0"/>
          <w:kern w:val="21"/>
          <w:position w:val="2"/>
          <w:sz w:val="72"/>
          <w:szCs w:val="72"/>
        </w:rPr>
      </w:pPr>
      <w:r>
        <w:rPr>
          <w:rFonts w:hint="eastAsia" w:ascii="方正小标宋_GBK" w:hAnsi="宋体" w:eastAsia="方正小标宋_GBK" w:cs="宋体"/>
          <w:b/>
          <w:bCs/>
          <w:snapToGrid w:val="0"/>
          <w:kern w:val="21"/>
          <w:position w:val="2"/>
          <w:sz w:val="72"/>
          <w:szCs w:val="72"/>
        </w:rPr>
        <w:t>劳务分包合同</w:t>
      </w: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p>
    <w:p>
      <w:pPr>
        <w:snapToGrid w:val="0"/>
        <w:jc w:val="both"/>
        <w:rPr>
          <w:rFonts w:ascii="方正小标宋_GBK" w:hAnsi="宋体" w:eastAsia="方正小标宋_GBK" w:cs="宋体"/>
          <w:b/>
          <w:bCs/>
          <w:snapToGrid w:val="0"/>
          <w:kern w:val="21"/>
          <w:position w:val="2"/>
          <w:sz w:val="36"/>
          <w:szCs w:val="36"/>
        </w:rPr>
      </w:pPr>
    </w:p>
    <w:p>
      <w:pPr>
        <w:snapToGrid w:val="0"/>
        <w:ind w:firstLine="723" w:firstLineChars="200"/>
        <w:jc w:val="center"/>
        <w:rPr>
          <w:rFonts w:ascii="方正小标宋_GBK" w:hAnsi="宋体" w:eastAsia="方正小标宋_GBK" w:cs="宋体"/>
          <w:b/>
          <w:bCs/>
          <w:snapToGrid w:val="0"/>
          <w:kern w:val="21"/>
          <w:position w:val="2"/>
          <w:sz w:val="36"/>
          <w:szCs w:val="36"/>
        </w:rPr>
      </w:pPr>
      <w:r>
        <w:rPr>
          <w:rFonts w:hint="eastAsia" w:ascii="方正小标宋_GBK" w:hAnsi="宋体" w:eastAsia="方正小标宋_GBK"/>
          <w:b/>
          <w:bCs/>
          <w:color w:val="000000"/>
          <w:sz w:val="36"/>
          <w:szCs w:val="36"/>
          <w:u w:val="single"/>
        </w:rPr>
        <w:t xml:space="preserve">                  </w:t>
      </w:r>
      <w:r>
        <w:rPr>
          <w:rFonts w:hint="eastAsia" w:ascii="方正小标宋_GBK" w:hAnsi="宋体" w:eastAsia="方正小标宋_GBK" w:cs="宋体"/>
          <w:b/>
          <w:bCs/>
          <w:snapToGrid w:val="0"/>
          <w:kern w:val="21"/>
          <w:position w:val="2"/>
          <w:sz w:val="36"/>
          <w:szCs w:val="36"/>
        </w:rPr>
        <w:t>劳务分包合同</w:t>
      </w:r>
    </w:p>
    <w:p>
      <w:pPr>
        <w:ind w:firstLine="480" w:firstLineChars="200"/>
        <w:textAlignment w:val="center"/>
        <w:rPr>
          <w:rFonts w:ascii="宋体" w:hAnsi="宋体" w:cs="宋体"/>
          <w:snapToGrid w:val="0"/>
          <w:kern w:val="21"/>
          <w:position w:val="2"/>
          <w:sz w:val="24"/>
        </w:rPr>
      </w:pPr>
    </w:p>
    <w:p>
      <w:pPr>
        <w:ind w:firstLine="480" w:firstLineChars="200"/>
        <w:textAlignment w:val="center"/>
        <w:rPr>
          <w:rFonts w:ascii="方正仿宋_GBK" w:hAnsi="方正仿宋_GBK" w:eastAsia="方正仿宋_GBK" w:cs="方正仿宋_GBK"/>
          <w:snapToGrid w:val="0"/>
          <w:kern w:val="21"/>
          <w:position w:val="2"/>
          <w:sz w:val="24"/>
          <w:u w:val="single"/>
        </w:rPr>
      </w:pPr>
      <w:r>
        <w:rPr>
          <w:rFonts w:hint="eastAsia" w:ascii="方正仿宋_GBK" w:hAnsi="方正仿宋_GBK" w:eastAsia="方正仿宋_GBK" w:cs="方正仿宋_GBK"/>
          <w:snapToGrid w:val="0"/>
          <w:kern w:val="21"/>
          <w:position w:val="2"/>
          <w:sz w:val="24"/>
        </w:rPr>
        <w:t>甲方：</w:t>
      </w:r>
      <w:r>
        <w:rPr>
          <w:rFonts w:hint="eastAsia" w:ascii="方正仿宋_GBK" w:hAnsi="方正仿宋_GBK" w:eastAsia="方正仿宋_GBK" w:cs="方正仿宋_GBK"/>
          <w:snapToGrid w:val="0"/>
          <w:kern w:val="21"/>
          <w:position w:val="2"/>
          <w:sz w:val="24"/>
          <w:u w:val="single"/>
        </w:rPr>
        <w:t>扬州市上善建设工程有限公司</w:t>
      </w:r>
    </w:p>
    <w:p>
      <w:pPr>
        <w:ind w:firstLine="480" w:firstLineChars="200"/>
        <w:rPr>
          <w:rFonts w:ascii="方正仿宋_GBK" w:hAnsi="方正仿宋_GBK" w:eastAsia="方正仿宋_GBK" w:cs="方正仿宋_GBK"/>
          <w:snapToGrid w:val="0"/>
          <w:kern w:val="21"/>
          <w:position w:val="2"/>
          <w:sz w:val="24"/>
          <w:u w:val="single"/>
        </w:rPr>
      </w:pPr>
      <w:r>
        <w:rPr>
          <w:rFonts w:hint="eastAsia" w:ascii="方正仿宋_GBK" w:hAnsi="方正仿宋_GBK" w:eastAsia="方正仿宋_GBK" w:cs="方正仿宋_GBK"/>
          <w:snapToGrid w:val="0"/>
          <w:kern w:val="21"/>
          <w:position w:val="2"/>
          <w:sz w:val="24"/>
        </w:rPr>
        <w:t>乙方：</w:t>
      </w:r>
      <w:r>
        <w:rPr>
          <w:rFonts w:hint="eastAsia" w:ascii="方正仿宋_GBK" w:hAnsi="方正仿宋_GBK" w:eastAsia="方正仿宋_GBK" w:cs="方正仿宋_GBK"/>
          <w:snapToGrid w:val="0"/>
          <w:kern w:val="21"/>
          <w:position w:val="2"/>
          <w:sz w:val="24"/>
          <w:u w:val="single"/>
        </w:rPr>
        <w:t xml:space="preserve">                          </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根据《中华人民共和国民法典》相关规定及有关法律、法规，结合本工程具体情况，为明确双方在劳务分包过程中的权利、义务和责任，经双方协商一致签订本合同，以资双方共同遵守。</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第一条  </w:t>
      </w:r>
      <w:r>
        <w:rPr>
          <w:rFonts w:hint="eastAsia" w:ascii="方正仿宋_GBK" w:hAnsi="方正仿宋_GBK" w:eastAsia="方正仿宋_GBK" w:cs="方正仿宋_GBK"/>
          <w:snapToGrid w:val="0"/>
          <w:kern w:val="21"/>
          <w:position w:val="2"/>
          <w:sz w:val="24"/>
        </w:rPr>
        <w:t>劳务分包内容及合同价款</w:t>
      </w:r>
    </w:p>
    <w:p>
      <w:pPr>
        <w:tabs>
          <w:tab w:val="center" w:pos="4422"/>
        </w:tabs>
        <w:ind w:firstLine="480" w:firstLineChars="200"/>
        <w:rPr>
          <w:rFonts w:ascii="方正仿宋_GBK" w:hAnsi="方正仿宋_GBK" w:eastAsia="方正仿宋_GBK" w:cs="方正仿宋_GBK"/>
          <w:snapToGrid w:val="0"/>
          <w:kern w:val="21"/>
          <w:position w:val="2"/>
          <w:sz w:val="24"/>
          <w:u w:val="single"/>
        </w:rPr>
      </w:pPr>
      <w:r>
        <w:rPr>
          <w:rFonts w:hint="eastAsia" w:ascii="方正仿宋_GBK" w:hAnsi="方正仿宋_GBK" w:eastAsia="方正仿宋_GBK" w:cs="方正仿宋_GBK"/>
          <w:snapToGrid w:val="0"/>
          <w:kern w:val="21"/>
          <w:position w:val="2"/>
          <w:sz w:val="24"/>
        </w:rPr>
        <w:t>一、劳务分包项目名称：</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 xml:space="preserve">   </w:t>
      </w:r>
    </w:p>
    <w:p>
      <w:pPr>
        <w:tabs>
          <w:tab w:val="center" w:pos="4422"/>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二、劳务分包工作地点：</w:t>
      </w:r>
      <w:r>
        <w:rPr>
          <w:rFonts w:hint="eastAsia" w:ascii="方正仿宋_GBK" w:hAnsi="方正仿宋_GBK" w:eastAsia="方正仿宋_GBK" w:cs="方正仿宋_GBK"/>
          <w:snapToGrid w:val="0"/>
          <w:kern w:val="21"/>
          <w:position w:val="2"/>
          <w:sz w:val="24"/>
          <w:u w:val="single"/>
        </w:rPr>
        <w:t xml:space="preserve">                         </w:t>
      </w:r>
    </w:p>
    <w:p>
      <w:pPr>
        <w:tabs>
          <w:tab w:val="center" w:pos="4422"/>
        </w:tabs>
        <w:ind w:firstLine="480" w:firstLineChars="200"/>
        <w:rPr>
          <w:rFonts w:ascii="方正仿宋_GBK" w:hAnsi="方正仿宋_GBK" w:eastAsia="方正仿宋_GBK" w:cs="方正仿宋_GBK"/>
          <w:snapToGrid w:val="0"/>
          <w:kern w:val="21"/>
          <w:position w:val="2"/>
          <w:sz w:val="24"/>
          <w:u w:val="single"/>
        </w:rPr>
      </w:pPr>
      <w:r>
        <w:rPr>
          <w:rFonts w:hint="eastAsia" w:ascii="方正仿宋_GBK" w:hAnsi="方正仿宋_GBK" w:eastAsia="方正仿宋_GBK" w:cs="方正仿宋_GBK"/>
          <w:snapToGrid w:val="0"/>
          <w:kern w:val="21"/>
          <w:position w:val="2"/>
          <w:sz w:val="24"/>
        </w:rPr>
        <w:t>三、劳务分包范围及内容：</w:t>
      </w:r>
      <w:r>
        <w:rPr>
          <w:rFonts w:hint="eastAsia" w:ascii="方正仿宋_GBK" w:hAnsi="方正仿宋_GBK" w:eastAsia="方正仿宋_GBK" w:cs="方正仿宋_GBK"/>
          <w:snapToGrid w:val="0"/>
          <w:kern w:val="21"/>
          <w:position w:val="2"/>
          <w:sz w:val="24"/>
          <w:u w:val="single"/>
        </w:rPr>
        <w:t xml:space="preserve">                       </w:t>
      </w:r>
    </w:p>
    <w:p>
      <w:pPr>
        <w:ind w:firstLine="480" w:firstLineChars="200"/>
        <w:rPr>
          <w:rFonts w:ascii="方正仿宋_GBK" w:hAnsi="方正仿宋_GBK" w:eastAsia="方正仿宋_GBK" w:cs="方正仿宋_GBK"/>
          <w:snapToGrid w:val="0"/>
          <w:kern w:val="21"/>
          <w:position w:val="2"/>
          <w:sz w:val="24"/>
          <w:u w:val="single"/>
        </w:rPr>
      </w:pPr>
      <w:r>
        <w:rPr>
          <w:rFonts w:hint="eastAsia" w:ascii="方正仿宋_GBK" w:hAnsi="方正仿宋_GBK" w:eastAsia="方正仿宋_GBK" w:cs="方正仿宋_GBK"/>
          <w:snapToGrid w:val="0"/>
          <w:kern w:val="21"/>
          <w:position w:val="2"/>
          <w:sz w:val="24"/>
        </w:rPr>
        <w:t>四、合同价款</w:t>
      </w:r>
    </w:p>
    <w:p>
      <w:pPr>
        <w:spacing w:line="560" w:lineRule="exact"/>
        <w:ind w:firstLine="480" w:firstLineChars="200"/>
        <w:rPr>
          <w:rFonts w:hint="eastAsia" w:ascii="宋体" w:hAnsi="宋体"/>
          <w:color w:val="FF0000"/>
          <w:szCs w:val="21"/>
        </w:rPr>
      </w:pPr>
      <w:r>
        <w:rPr>
          <w:rFonts w:hint="eastAsia" w:ascii="方正仿宋_GBK" w:hAnsi="方正仿宋_GBK" w:eastAsia="方正仿宋_GBK" w:cs="方正仿宋_GBK"/>
          <w:snapToGrid w:val="0"/>
          <w:kern w:val="21"/>
          <w:position w:val="2"/>
          <w:sz w:val="24"/>
          <w:lang w:val="en-US" w:eastAsia="zh-CN"/>
        </w:rPr>
        <w:t>1、</w:t>
      </w:r>
      <w:r>
        <w:rPr>
          <w:rFonts w:hint="eastAsia" w:ascii="方正仿宋_GBK" w:hAnsi="方正仿宋_GBK" w:eastAsia="方正仿宋_GBK" w:cs="方正仿宋_GBK"/>
          <w:snapToGrid w:val="0"/>
          <w:kern w:val="21"/>
          <w:position w:val="2"/>
          <w:sz w:val="24"/>
        </w:rPr>
        <w:t>暂定含税合同价为人民币大写：</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人民币(</w:t>
      </w:r>
      <w:r>
        <w:rPr>
          <w:rFonts w:hint="eastAsia" w:ascii="宋体" w:hAnsi="宋体" w:eastAsia="方正仿宋_GBK" w:cs="方正仿宋_GBK"/>
          <w:snapToGrid w:val="0"/>
          <w:kern w:val="21"/>
          <w:position w:val="2"/>
          <w:sz w:val="24"/>
        </w:rPr>
        <w:t>¥</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元)，</w:t>
      </w:r>
      <w:r>
        <w:rPr>
          <w:rFonts w:hint="eastAsia" w:ascii="宋体" w:hAnsi="宋体"/>
          <w:color w:val="FF0000"/>
          <w:szCs w:val="21"/>
        </w:rPr>
        <w:t>竣工验收合格后，按乙方实际完成的工程量（经甲方审核或修正的工作量视为乙方实际完成的工作量）核算金额的60%支付劳务进度款(不超过合同价的60%)。</w:t>
      </w:r>
      <w:r>
        <w:rPr>
          <w:rFonts w:hint="eastAsia" w:ascii="宋体" w:hAnsi="宋体"/>
          <w:color w:val="5B9BD5"/>
          <w:szCs w:val="21"/>
        </w:rPr>
        <w:t>建设单位</w:t>
      </w:r>
      <w:r>
        <w:rPr>
          <w:rFonts w:hint="eastAsia" w:ascii="宋体" w:hAnsi="宋体"/>
          <w:color w:val="FF0000"/>
          <w:szCs w:val="21"/>
        </w:rPr>
        <w:t>结算最终审定后，提供符合甲方审计流程的结算资料，甲方结算审计后，可支付最终审计结算价的97%，余款两年养护期满后一次性无息付清。每次申请支付进度款时，需提供符合甲方要求的申请支付资料履行审计流程，开具符合税务部门要求的增值税专用发票（税率9%）。</w:t>
      </w:r>
    </w:p>
    <w:p>
      <w:pPr>
        <w:spacing w:line="560" w:lineRule="exact"/>
        <w:ind w:firstLine="480" w:firstLineChars="200"/>
        <w:rPr>
          <w:rFonts w:hint="eastAsia" w:ascii="方正仿宋_GBK" w:hAnsi="方正仿宋_GBK" w:eastAsia="方正仿宋_GBK" w:cs="方正仿宋_GBK"/>
          <w:snapToGrid w:val="0"/>
          <w:kern w:val="21"/>
          <w:position w:val="2"/>
          <w:sz w:val="24"/>
          <w:lang w:val="en-US" w:eastAsia="zh-CN"/>
        </w:rPr>
      </w:pPr>
      <w:r>
        <w:rPr>
          <w:rFonts w:hint="eastAsia" w:ascii="方正仿宋_GBK" w:hAnsi="方正仿宋_GBK" w:eastAsia="方正仿宋_GBK" w:cs="方正仿宋_GBK"/>
          <w:snapToGrid w:val="0"/>
          <w:kern w:val="21"/>
          <w:position w:val="2"/>
          <w:sz w:val="24"/>
          <w:lang w:val="en-US" w:eastAsia="zh-CN"/>
        </w:rPr>
        <w:t xml:space="preserve">2、结算办法： </w:t>
      </w:r>
      <w:r>
        <w:rPr>
          <w:rFonts w:hint="eastAsia" w:ascii="方正仿宋_GBK" w:hAnsi="方正仿宋_GBK" w:eastAsia="方正仿宋_GBK" w:cs="方正仿宋_GBK"/>
          <w:snapToGrid w:val="0"/>
          <w:kern w:val="21"/>
          <w:position w:val="2"/>
          <w:sz w:val="24"/>
          <w:highlight w:val="yellow"/>
          <w:lang w:val="en-US" w:eastAsia="zh-CN"/>
        </w:rPr>
        <w:t xml:space="preserve"> 固定单价结算 （工作量以建设单位审计工作量为准）</w:t>
      </w:r>
    </w:p>
    <w:p>
      <w:pPr>
        <w:snapToGrid w:val="0"/>
        <w:ind w:firstLine="480" w:firstLineChars="200"/>
        <w:rPr>
          <w:rFonts w:hint="eastAsia" w:ascii="方正仿宋_GBK" w:hAnsi="方正仿宋_GBK" w:eastAsia="方正仿宋_GBK" w:cs="方正仿宋_GBK"/>
          <w:snapToGrid w:val="0"/>
          <w:kern w:val="21"/>
          <w:position w:val="2"/>
          <w:sz w:val="24"/>
        </w:rPr>
      </w:pPr>
    </w:p>
    <w:p>
      <w:pPr>
        <w:snapToGrid w:val="0"/>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五、劳务分包方式</w:t>
      </w:r>
    </w:p>
    <w:p>
      <w:pPr>
        <w:ind w:firstLine="480" w:firstLineChars="200"/>
        <w:rPr>
          <w:rFonts w:ascii="方正仿宋_GBK" w:hAnsi="方正仿宋_GBK" w:eastAsia="方正仿宋_GBK" w:cs="方正仿宋_GBK"/>
          <w:snapToGrid w:val="0"/>
          <w:color w:val="000000"/>
          <w:kern w:val="21"/>
          <w:position w:val="2"/>
          <w:sz w:val="24"/>
        </w:rPr>
      </w:pPr>
      <w:r>
        <w:rPr>
          <w:rFonts w:hint="eastAsia" w:ascii="方正仿宋_GBK" w:hAnsi="方正仿宋_GBK" w:eastAsia="方正仿宋_GBK" w:cs="方正仿宋_GBK"/>
          <w:snapToGrid w:val="0"/>
          <w:kern w:val="21"/>
          <w:position w:val="2"/>
          <w:sz w:val="24"/>
        </w:rPr>
        <w:t>1、</w:t>
      </w:r>
      <w:r>
        <w:rPr>
          <w:rFonts w:hint="eastAsia" w:ascii="方正仿宋_GBK" w:hAnsi="方正仿宋_GBK" w:eastAsia="方正仿宋_GBK" w:cs="方正仿宋_GBK"/>
          <w:snapToGrid w:val="0"/>
          <w:color w:val="000000"/>
          <w:kern w:val="21"/>
          <w:position w:val="2"/>
          <w:sz w:val="24"/>
        </w:rPr>
        <w:t>承包范围包含为实施该工序所有子项目并缺陷修补中所需的一切劳务、机械、部分辅助材料，现场管理，施工调遣，施工措施，生活设施，施工结束后现场清理。</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2、已确认的合同单价双方已经充分考虑到了市场物价变动、暂停施工、第三方原因造成的工期顺延、施工风险、乙方各种施工要素追加投入（本合同约定乙方要素投入为最低要素配置要求，不免除乙方为确保合同履约需要增加的各种要素投入）等各种不利因素的影响。</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3、乙方实际完成劳务分包工作量以甲方核对计量为准。</w:t>
      </w:r>
    </w:p>
    <w:p>
      <w:pPr>
        <w:ind w:firstLine="480"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snapToGrid w:val="0"/>
          <w:kern w:val="21"/>
          <w:position w:val="2"/>
          <w:sz w:val="24"/>
        </w:rPr>
        <w:t>4、劳务分包合同总价为甲乙双方支付的各分项价款之和</w:t>
      </w:r>
      <w:r>
        <w:rPr>
          <w:rFonts w:hint="eastAsia" w:ascii="方正仿宋_GBK" w:hAnsi="方正仿宋_GBK" w:eastAsia="方正仿宋_GBK" w:cs="方正仿宋_GBK"/>
          <w:b/>
          <w:snapToGrid w:val="0"/>
          <w:kern w:val="21"/>
          <w:position w:val="2"/>
          <w:sz w:val="24"/>
        </w:rPr>
        <w:t>。</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第二条  </w:t>
      </w:r>
      <w:r>
        <w:rPr>
          <w:rFonts w:hint="eastAsia" w:ascii="方正仿宋_GBK" w:hAnsi="方正仿宋_GBK" w:eastAsia="方正仿宋_GBK" w:cs="方正仿宋_GBK"/>
          <w:snapToGrid w:val="0"/>
          <w:kern w:val="21"/>
          <w:position w:val="2"/>
          <w:sz w:val="24"/>
        </w:rPr>
        <w:t>双方责任</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一、甲方责任</w:t>
      </w:r>
    </w:p>
    <w:p>
      <w:pPr>
        <w:tabs>
          <w:tab w:val="center" w:pos="4422"/>
        </w:tabs>
        <w:ind w:firstLine="480" w:firstLineChars="200"/>
        <w:rPr>
          <w:rFonts w:ascii="方正仿宋_GBK" w:hAnsi="方正仿宋_GBK" w:eastAsia="方正仿宋_GBK" w:cs="方正仿宋_GBK"/>
          <w:snapToGrid w:val="0"/>
          <w:kern w:val="21"/>
          <w:position w:val="2"/>
          <w:sz w:val="24"/>
          <w:u w:val="single"/>
        </w:rPr>
      </w:pPr>
      <w:r>
        <w:rPr>
          <w:rFonts w:hint="eastAsia" w:ascii="方正仿宋_GBK" w:hAnsi="方正仿宋_GBK" w:eastAsia="方正仿宋_GBK" w:cs="方正仿宋_GBK"/>
          <w:snapToGrid w:val="0"/>
          <w:kern w:val="21"/>
          <w:position w:val="2"/>
          <w:sz w:val="24"/>
        </w:rPr>
        <w:t xml:space="preserve">1、为加强对乙方劳务人员的组织与管理，甲方授权成立现场管理机构 </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项目经理部，对本工程施工全过程实施全面管理。</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2、协助乙方编制实施性施工组织设计。</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3、负责按本合同约定及时提供甲供材料。对进场原材料、设备、构配件、半成品、成品进行检验和试验，确保质量满足工程要求。</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4、严格监督乙方劳务人员按照文明施工、安全生产要求进行生产作业、确保现场作业文明、规范和安全。</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5、负责对乙方完成的工序作业质量进行检查、评定、验收，负责对已完工程及时组织验收。</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6、督促办理乙方已完劳务工程结算。</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二、乙方责任</w:t>
      </w:r>
    </w:p>
    <w:p>
      <w:pPr>
        <w:ind w:firstLine="480" w:firstLineChars="200"/>
        <w:rPr>
          <w:rFonts w:ascii="方正仿宋_GBK" w:hAnsi="方正仿宋_GBK" w:eastAsia="方正仿宋_GBK" w:cs="方正仿宋_GBK"/>
          <w:snapToGrid w:val="0"/>
          <w:color w:val="FF0000"/>
          <w:kern w:val="21"/>
          <w:position w:val="2"/>
          <w:sz w:val="24"/>
        </w:rPr>
      </w:pPr>
      <w:r>
        <w:rPr>
          <w:rFonts w:hint="eastAsia" w:ascii="方正仿宋_GBK" w:hAnsi="方正仿宋_GBK" w:eastAsia="方正仿宋_GBK" w:cs="方正仿宋_GBK"/>
          <w:snapToGrid w:val="0"/>
          <w:kern w:val="21"/>
          <w:position w:val="2"/>
          <w:sz w:val="24"/>
        </w:rPr>
        <w:t>1、乙方应组织具有相应资格证书的熟练工人和相应的符合国家及甲方要求的施工机具设备，在接到甲方进场通知后</w:t>
      </w:r>
      <w:r>
        <w:rPr>
          <w:rFonts w:hint="eastAsia" w:ascii="方正仿宋_GBK" w:hAnsi="方正仿宋_GBK" w:eastAsia="方正仿宋_GBK" w:cs="方正仿宋_GBK"/>
          <w:snapToGrid w:val="0"/>
          <w:kern w:val="21"/>
          <w:position w:val="2"/>
          <w:sz w:val="24"/>
          <w:u w:val="single"/>
        </w:rPr>
        <w:t xml:space="preserve"> 2 </w:t>
      </w:r>
      <w:r>
        <w:rPr>
          <w:rFonts w:hint="eastAsia" w:ascii="方正仿宋_GBK" w:hAnsi="方正仿宋_GBK" w:eastAsia="方正仿宋_GBK" w:cs="方正仿宋_GBK"/>
          <w:snapToGrid w:val="0"/>
          <w:kern w:val="21"/>
          <w:position w:val="2"/>
          <w:sz w:val="24"/>
        </w:rPr>
        <w:t>天内进场，并指派代理人（必须持有法人委托书原件）在现场进行管理。</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2、乙方应经常对其劳务人员进行必要的安全、技能培训考核和参加甲方组织的培训、考核，对甲方培训、考核不合格人员乙方应及时予以更换或调整岗位。</w:t>
      </w:r>
    </w:p>
    <w:p>
      <w:pPr>
        <w:ind w:firstLine="480" w:firstLineChars="200"/>
        <w:rPr>
          <w:rFonts w:ascii="方正仿宋_GBK" w:hAnsi="方正仿宋_GBK" w:eastAsia="方正仿宋_GBK" w:cs="方正仿宋_GBK"/>
          <w:snapToGrid w:val="0"/>
          <w:color w:val="0000FF"/>
          <w:kern w:val="21"/>
          <w:position w:val="2"/>
          <w:sz w:val="24"/>
        </w:rPr>
      </w:pPr>
      <w:r>
        <w:rPr>
          <w:rFonts w:hint="eastAsia" w:ascii="方正仿宋_GBK" w:hAnsi="方正仿宋_GBK" w:eastAsia="方正仿宋_GBK" w:cs="方正仿宋_GBK"/>
          <w:snapToGrid w:val="0"/>
          <w:kern w:val="21"/>
          <w:position w:val="2"/>
          <w:sz w:val="24"/>
        </w:rPr>
        <w:t>3、</w:t>
      </w:r>
      <w:r>
        <w:rPr>
          <w:rFonts w:hint="eastAsia" w:ascii="方正仿宋_GBK" w:hAnsi="方正仿宋_GBK" w:eastAsia="方正仿宋_GBK" w:cs="方正仿宋_GBK"/>
          <w:snapToGrid w:val="0"/>
          <w:color w:val="0000FF"/>
          <w:kern w:val="21"/>
          <w:position w:val="2"/>
          <w:sz w:val="24"/>
        </w:rPr>
        <w:t>乙方必须与进场工人签订劳动合同，并为其劳务人员办理各种社会保险，支付保险费用。</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4、乙方必须接受甲方项目经理部的领导和监督检查。严格按照甲方技术交底和指令组织施工。乙方对甲方提供的交底或指令有疑义或发现有误的，应及时以书面形式向甲方有关人员提出，在甲方有关人员未同意更改或撤消前，乙方应无条件执行。</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5、乙方应严格按照甲方技术、质量、安全交底进行作业，确保工程质量，不合格项目必须无偿返工，直到达到甲方验收标准为止，同时不减免其合同工期延误责任。每道工序须由甲方人员检验认可合格并通知允许进行下道工序作业后，方可进入下一道工序施工。</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6、乙方对甲方供应到现场的材料、机械设备、标识标牌、未移交工程、测量桩物等承担妥善保管义务，应妥善保管并看护好，不得倒卖、破坏和移位。否则造成一切损失由乙方承担。</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7、乙方应配合甲方及时进行劳务结算，质量、安全、进度检查，现场管理及施工资料收集，按时报送施工计划、甲供材料供应计划。</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8、严格按甲方文明施工和安全标准工地的要求进行现场施工管理，遵守环境保护法律法规，乙方因不遵守相关法律法规和甲方有关指定对周边环境现状造成污染或破坏的由乙方负责处理并承担全部费用。</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9、乙方在施工过程中如遇未探明的地下管线、文物等，应及时停止施工，妥善看管，并立即报告甲方，由甲方负责处理。对出现上述情况，因乙方不及时报告甲方且擅自继续施工，或报告甲方后未经甲方同意复工且强行施工，造成损失的，由乙方承担全部经济损失和法律责任。</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10、未经甲方授权，乙方不得与工程建设单位及有关部门建立联系。</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11、乙方在施工中与第三方产生的债权债务及纠纷等问题由乙方自行负责处理，并承担责任和费用。</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12、乙方对承担存在职业病危害的工程项目，应当按国家规定对职工履行告知宣传义务，配备必要的劳保用品，建立健全职业病防治责任制，对从事有职业危害的职工进行岗前、岗中和离岗健康体检和承担因职工犯职业病所需的医疗费用，妥善保管有关资料。</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13、乙方承诺：及时、自行发放工人工资，不以发工人工资为由要求甲方支付超出合同条件外的费用。</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14、乙方应为其雇佣的全部现场作业人员办理团体（或个人）意外伤害保险和工伤保险。乙方承诺：出现上述保险理赔事件时由乙方自行承担和负责处理，相关费用及超出保险理赔范围外的赔偿费用由乙方自行承担，无需甲方承担任何连带责任。</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15、乙方承诺因乙方原因造成合同解除的，甲方无需承担任何乙方物资、设备回购义务，相关损失由乙方自行承担。</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16、乙方承诺：为所承担的施工任务配置专职安全员。</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第三条  </w:t>
      </w:r>
      <w:r>
        <w:rPr>
          <w:rFonts w:hint="eastAsia" w:ascii="方正仿宋_GBK" w:hAnsi="方正仿宋_GBK" w:eastAsia="方正仿宋_GBK" w:cs="方正仿宋_GBK"/>
          <w:snapToGrid w:val="0"/>
          <w:kern w:val="21"/>
          <w:position w:val="2"/>
          <w:sz w:val="24"/>
        </w:rPr>
        <w:t>工期</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一、本合同劳务分包项目自</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年</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月</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日开工，至</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年</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月</w:t>
      </w:r>
    </w:p>
    <w:p>
      <w:pPr>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日完工，</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总日历工作天数为</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 xml:space="preserve">天。 </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二、乙方不得擅自停工。乙方擅自停工1天以上（含1天），甲方有权单方面决定是否解除合同，因停工造成的相关损失由乙方承担。</w:t>
      </w:r>
    </w:p>
    <w:p>
      <w:pPr>
        <w:ind w:firstLine="480" w:firstLineChars="200"/>
        <w:rPr>
          <w:rFonts w:ascii="方正仿宋_GBK" w:hAnsi="方正仿宋_GBK" w:eastAsia="方正仿宋_GBK" w:cs="方正仿宋_GBK"/>
          <w:snapToGrid w:val="0"/>
          <w:color w:val="FF0000"/>
          <w:kern w:val="21"/>
          <w:position w:val="2"/>
          <w:sz w:val="24"/>
        </w:rPr>
      </w:pPr>
      <w:r>
        <w:rPr>
          <w:rFonts w:hint="eastAsia" w:ascii="方正仿宋_GBK" w:hAnsi="方正仿宋_GBK" w:eastAsia="方正仿宋_GBK" w:cs="方正仿宋_GBK"/>
          <w:snapToGrid w:val="0"/>
          <w:kern w:val="21"/>
          <w:position w:val="2"/>
          <w:sz w:val="24"/>
        </w:rPr>
        <w:t>三、暂停施工。甲方在认为确有必要时，可指令乙方暂停施工，乙方必须按甲方指令停止施工，妥善保护已完项目，实施甲方处理意见后向甲方书面提出复工申请，甲方批准后方可继续施工。</w:t>
      </w:r>
      <w:r>
        <w:rPr>
          <w:rFonts w:hint="eastAsia" w:ascii="方正仿宋_GBK" w:hAnsi="方正仿宋_GBK" w:eastAsia="方正仿宋_GBK" w:cs="方正仿宋_GBK"/>
          <w:snapToGrid w:val="0"/>
          <w:color w:val="FF0000"/>
          <w:kern w:val="21"/>
          <w:position w:val="2"/>
          <w:sz w:val="24"/>
        </w:rPr>
        <w:t xml:space="preserve"> </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第四条  </w:t>
      </w:r>
      <w:r>
        <w:rPr>
          <w:rFonts w:hint="eastAsia" w:ascii="方正仿宋_GBK" w:hAnsi="方正仿宋_GBK" w:eastAsia="方正仿宋_GBK" w:cs="方正仿宋_GBK"/>
          <w:snapToGrid w:val="0"/>
          <w:kern w:val="21"/>
          <w:position w:val="2"/>
          <w:sz w:val="24"/>
        </w:rPr>
        <w:t>质量要求</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一、乙方劳务分包项目的质量应达到甲方要求的标准，并且乙方应配合甲方达到整体创优目标及企业质量目标。</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二、乙方应严格按照甲方技术、质量交底、施工验收规范、有关技术要求精心组织施工，确保工程质量达到约定标准。</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三、甲方委托乙方自购的辅助性零星小型材料需经甲方检验合格后方可用于本工程，未经甲方许可乙方不得擅自代换任何材料。</w:t>
      </w:r>
    </w:p>
    <w:p>
      <w:pPr>
        <w:tabs>
          <w:tab w:val="left" w:pos="780"/>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四、隐蔽工程须严格按照工程质量验收规程予以验收，未经签证合格，乙方不得进行下道工序施工。如乙方擅自隐蔽，视为违约，甲方有权要求乙方打开检查，无论检查是否合格由此造成的费用增加和工期延误责任，由乙方承担。</w:t>
      </w:r>
    </w:p>
    <w:p>
      <w:pPr>
        <w:tabs>
          <w:tab w:val="left" w:pos="780"/>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五、质保期间工程出现质量问题的，由乙方负责维修，维修发生的一切费用由乙方承担，乙方须接到通知3天内进行维修处理，逾期不处理的，建设单位可另行委托第三方处理，相关费用在质保金中直接扣除。</w:t>
      </w:r>
    </w:p>
    <w:p>
      <w:pPr>
        <w:ind w:firstLine="482" w:firstLineChars="200"/>
        <w:rPr>
          <w:rFonts w:ascii="方正仿宋_GBK" w:hAnsi="方正仿宋_GBK" w:eastAsia="方正仿宋_GBK" w:cs="方正仿宋_GBK"/>
          <w:bCs/>
          <w:snapToGrid w:val="0"/>
          <w:kern w:val="21"/>
          <w:position w:val="2"/>
          <w:sz w:val="24"/>
        </w:rPr>
      </w:pPr>
      <w:r>
        <w:rPr>
          <w:rFonts w:hint="eastAsia" w:ascii="方正仿宋_GBK" w:hAnsi="方正仿宋_GBK" w:eastAsia="方正仿宋_GBK" w:cs="方正仿宋_GBK"/>
          <w:b/>
          <w:snapToGrid w:val="0"/>
          <w:kern w:val="21"/>
          <w:position w:val="2"/>
          <w:sz w:val="24"/>
        </w:rPr>
        <w:t xml:space="preserve">第五条  </w:t>
      </w:r>
      <w:r>
        <w:rPr>
          <w:rFonts w:hint="eastAsia" w:ascii="方正仿宋_GBK" w:hAnsi="方正仿宋_GBK" w:eastAsia="方正仿宋_GBK" w:cs="方正仿宋_GBK"/>
          <w:snapToGrid w:val="0"/>
          <w:kern w:val="21"/>
          <w:position w:val="2"/>
          <w:sz w:val="24"/>
        </w:rPr>
        <w:t>安全责任</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一、甲方负责向乙方进行安全技术措施交底。督促乙方制定安全保障制度和安全保障体系，随时检查乙方各项安全措施的落实和执行情况。</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二、乙方配备专职安全管理人员</w:t>
      </w:r>
      <w:r>
        <w:rPr>
          <w:rFonts w:hint="eastAsia" w:ascii="方正仿宋_GBK" w:hAnsi="方正仿宋_GBK" w:eastAsia="方正仿宋_GBK" w:cs="方正仿宋_GBK"/>
          <w:snapToGrid w:val="0"/>
          <w:color w:val="000000"/>
          <w:kern w:val="21"/>
          <w:position w:val="2"/>
          <w:sz w:val="24"/>
        </w:rPr>
        <w:t>和</w:t>
      </w:r>
      <w:r>
        <w:rPr>
          <w:rFonts w:hint="eastAsia" w:ascii="方正仿宋_GBK" w:hAnsi="方正仿宋_GBK" w:eastAsia="方正仿宋_GBK" w:cs="方正仿宋_GBK"/>
          <w:snapToGrid w:val="0"/>
          <w:kern w:val="21"/>
          <w:position w:val="2"/>
          <w:sz w:val="24"/>
        </w:rPr>
        <w:t>必需的安全设施及物资，并在施工中采取严格的安全技术、防护措施，承担由于自身安全措施不力或过失造成事故的行政、经济责任和因此发生的全部费用。</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三、乙方应对其全部雇佣人员进行安全教育和安全技术交底，加强安全管理，所有现场施工人员必须自觉遵守甲乙双方各项现场管理规定。乙方违章作业，发生安全、质量事故造成人身伤害和财产损失，全部责任由乙方承担，同时甲方根据事故的严重程度将对乙方处以每次50～50000元经济处罚。</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四、凡在既有公路、铁路、居民区附近施工以及爆破施工的工点，乙方必须设置施工安全员和警戒线，并确保既有公路、铁路的正常通行、居民区内人员财产不受损失，否则责任自负。</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五、乙方应自费为其现场施工人员购买保额不低于100万的安全生产责任险。</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六、除上述安全约定外，乙方尚需与甲方签订《安全协议书》，相关条款同《安全协议书》有冲突的，以《安全协议书》条款为准。</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第六条  </w:t>
      </w:r>
      <w:r>
        <w:rPr>
          <w:rFonts w:hint="eastAsia" w:ascii="方正仿宋_GBK" w:hAnsi="方正仿宋_GBK" w:eastAsia="方正仿宋_GBK" w:cs="方正仿宋_GBK"/>
          <w:snapToGrid w:val="0"/>
          <w:kern w:val="21"/>
          <w:position w:val="2"/>
          <w:sz w:val="24"/>
        </w:rPr>
        <w:t>材料、设备供应</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一、材料供应</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1、材料经双方点验签证后由乙方负责保管并合理使用。</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2、乙方倒卖甲供材料的，按供应价格的200%向甲方支付赔偿金，并依据甲方相关规定进行处罚。</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3、甲供材料以外的其他辅助性零星小型材料，甲方委托乙方自行采购。</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二、设备供应</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1、乙方提供的机械设备（含租赁提供的）须确保其处于良好的工作状态。 因设备原因或乙方人员使用原因造成甲方及任何第三方财产损失、人身伤害的，由乙方承担赔偿等责任。</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第七条  </w:t>
      </w:r>
      <w:r>
        <w:rPr>
          <w:rFonts w:hint="eastAsia" w:ascii="方正仿宋_GBK" w:hAnsi="方正仿宋_GBK" w:eastAsia="方正仿宋_GBK" w:cs="方正仿宋_GBK"/>
          <w:snapToGrid w:val="0"/>
          <w:kern w:val="21"/>
          <w:position w:val="2"/>
          <w:sz w:val="24"/>
        </w:rPr>
        <w:t>劳务价款的结算与支付</w:t>
      </w:r>
    </w:p>
    <w:p>
      <w:pPr>
        <w:numPr>
          <w:ilvl w:val="0"/>
          <w:numId w:val="4"/>
        </w:numPr>
        <w:ind w:left="0"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乙方在本合同签订前向甲方一次性缴纳人民币（大写）</w:t>
      </w:r>
      <w:r>
        <w:rPr>
          <w:rFonts w:hint="eastAsia" w:ascii="方正仿宋_GBK" w:hAnsi="方正仿宋_GBK" w:eastAsia="方正仿宋_GBK" w:cs="方正仿宋_GBK"/>
          <w:snapToGrid w:val="0"/>
          <w:kern w:val="21"/>
          <w:position w:val="2"/>
          <w:sz w:val="24"/>
          <w:highlight w:val="yellow"/>
          <w:u w:val="single"/>
        </w:rPr>
        <w:t xml:space="preserve">  </w:t>
      </w:r>
      <w:r>
        <w:rPr>
          <w:rFonts w:hint="eastAsia" w:ascii="方正仿宋_GBK" w:hAnsi="方正仿宋_GBK" w:eastAsia="方正仿宋_GBK" w:cs="方正仿宋_GBK"/>
          <w:snapToGrid w:val="0"/>
          <w:kern w:val="21"/>
          <w:position w:val="2"/>
          <w:sz w:val="24"/>
        </w:rPr>
        <w:t>万元的履约保证金。工程竣工验收合格后一次性予以返还，履约保证金不计利息。</w:t>
      </w:r>
    </w:p>
    <w:p>
      <w:pPr>
        <w:numPr>
          <w:ilvl w:val="0"/>
          <w:numId w:val="4"/>
        </w:numPr>
        <w:ind w:left="0"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付款方式参照本合同第一条第四条款。</w:t>
      </w:r>
    </w:p>
    <w:p>
      <w:pPr>
        <w:numPr>
          <w:ilvl w:val="0"/>
          <w:numId w:val="4"/>
        </w:numPr>
        <w:ind w:left="0"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工作量计量：乙方完成的工作量要符合质量要求并经甲方审核或修正的工作量视为乙方实际完成的工作量，结算时执行甲方结算标准，流程。</w:t>
      </w:r>
    </w:p>
    <w:p>
      <w:pPr>
        <w:numPr>
          <w:ilvl w:val="0"/>
          <w:numId w:val="4"/>
        </w:numPr>
        <w:ind w:left="0" w:firstLine="480" w:firstLineChars="200"/>
        <w:rPr>
          <w:rFonts w:ascii="方正仿宋_GBK" w:hAnsi="方正仿宋_GBK" w:eastAsia="方正仿宋_GBK" w:cs="方正仿宋_GBK"/>
          <w:snapToGrid w:val="0"/>
          <w:color w:val="000000"/>
          <w:kern w:val="21"/>
          <w:position w:val="2"/>
          <w:sz w:val="24"/>
        </w:rPr>
      </w:pPr>
      <w:r>
        <w:rPr>
          <w:rFonts w:hint="eastAsia" w:ascii="方正仿宋_GBK" w:hAnsi="方正仿宋_GBK" w:eastAsia="方正仿宋_GBK" w:cs="方正仿宋_GBK"/>
          <w:snapToGrid w:val="0"/>
          <w:color w:val="000000"/>
          <w:kern w:val="21"/>
          <w:position w:val="2"/>
          <w:sz w:val="24"/>
        </w:rPr>
        <w:t>甲方每次付款前，乙方必须提供相应的增值税专用发票，否则甲方有权暂不付款。</w:t>
      </w:r>
    </w:p>
    <w:p>
      <w:pPr>
        <w:numPr>
          <w:ilvl w:val="0"/>
          <w:numId w:val="4"/>
        </w:numPr>
        <w:ind w:left="0"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增值税专用条款</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乙方按本合同约定向甲方提供符合甲方财务部门要求的增值税专用发票，不合格发票包括但不限于以下情形：开具虚假、作废等无效发票或者违反国家法律法规开具、提供发票的，开具发票种类错误，开具发票税率与合同约定不符，发票信息错误，因乙方迟延送达、开具错误等原因造成发票认证失败等。</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2、乙方还应遵守如下条款：</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乙方提供增值税专用发票并履行甲方内部审批手续。因乙方迟延送达、开具错误等原因导致其提供的增值税专用发票没有通过税务部门认证，造成甲方不能抵扣的，甲方有权拒绝接收。</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乙方账户必须是合同约定的在主管国税机关备案的账户，若账户变更应及时通知甲方，并签订合同变更或补充合同；如乙方随意改变账户，甲方将拒付合同约定款项并不承担由此引起的延期付款责任，相关的损失由乙方承担。</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因乙方自身纳税人身份、纳税方式变化带来的适用增值税税率的变化，导致对甲方的损失应由乙方承担。</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如果甲方丢失增值税专用发票联和抵扣联，乙方应向甲方提供专用发票记账联复印件及主管税务机关出具的《丢失增值税专用发票已报税证明单》。</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如果获得开具的汇总专用发票，则乙方应提供其防伪税控系统开具的《销售货物或者提供应税劳务清单》，并加盖发票专用章。</w:t>
      </w:r>
    </w:p>
    <w:p>
      <w:pPr>
        <w:pStyle w:val="4"/>
        <w:ind w:firstLine="480" w:firstLineChars="200"/>
        <w:jc w:val="both"/>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六、乙方原则上需在合同履行地开立银行账号，计价款除代发民工工资外应转账支付。特殊情况下甲乙可另行协商，但相应的手续必须完备。</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七、合同约定项目竣工验收后，甲方负责对乙方进行结算, 乙方劳务义务终止，转入债权债务关系。</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乙方在工程竣工验收合格后一个月内必须与甲方办理结算手续，如果乙方逾期未办理结算的，视为同意甲方单方面办理的结算手续。</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第八条  </w:t>
      </w:r>
      <w:r>
        <w:rPr>
          <w:rFonts w:hint="eastAsia" w:ascii="方正仿宋_GBK" w:hAnsi="方正仿宋_GBK" w:eastAsia="方正仿宋_GBK" w:cs="方正仿宋_GBK"/>
          <w:snapToGrid w:val="0"/>
          <w:kern w:val="21"/>
          <w:position w:val="2"/>
          <w:sz w:val="24"/>
        </w:rPr>
        <w:t>违约责任和解除合同</w:t>
      </w:r>
    </w:p>
    <w:p>
      <w:pPr>
        <w:ind w:firstLine="480" w:firstLineChars="200"/>
        <w:rPr>
          <w:rFonts w:ascii="方正仿宋_GBK" w:hAnsi="方正仿宋_GBK" w:eastAsia="方正仿宋_GBK" w:cs="方正仿宋_GBK"/>
          <w:bCs/>
          <w:snapToGrid w:val="0"/>
          <w:kern w:val="21"/>
          <w:position w:val="2"/>
          <w:sz w:val="24"/>
        </w:rPr>
      </w:pPr>
      <w:r>
        <w:rPr>
          <w:rFonts w:hint="eastAsia" w:ascii="方正仿宋_GBK" w:hAnsi="方正仿宋_GBK" w:eastAsia="方正仿宋_GBK" w:cs="方正仿宋_GBK"/>
          <w:bCs/>
          <w:snapToGrid w:val="0"/>
          <w:kern w:val="21"/>
          <w:position w:val="2"/>
          <w:sz w:val="24"/>
        </w:rPr>
        <w:t>一、甲方违约责任</w:t>
      </w:r>
    </w:p>
    <w:p>
      <w:pPr>
        <w:tabs>
          <w:tab w:val="left" w:pos="585"/>
        </w:tabs>
        <w:ind w:firstLine="480" w:firstLineChars="200"/>
        <w:rPr>
          <w:rFonts w:ascii="方正仿宋_GBK" w:hAnsi="方正仿宋_GBK" w:eastAsia="方正仿宋_GBK" w:cs="方正仿宋_GBK"/>
          <w:bCs/>
          <w:snapToGrid w:val="0"/>
          <w:kern w:val="21"/>
          <w:position w:val="2"/>
          <w:sz w:val="24"/>
        </w:rPr>
      </w:pPr>
      <w:r>
        <w:rPr>
          <w:rFonts w:hint="eastAsia" w:ascii="方正仿宋_GBK" w:hAnsi="方正仿宋_GBK" w:eastAsia="方正仿宋_GBK" w:cs="方正仿宋_GBK"/>
          <w:bCs/>
          <w:snapToGrid w:val="0"/>
          <w:kern w:val="21"/>
          <w:position w:val="2"/>
          <w:sz w:val="24"/>
        </w:rPr>
        <w:t>1、因甲方、工程建设单位设计变更、不可抗力等原因造成乙方不能按合同工期完工，工期顺延但甲方不赔偿乙方损失，此风险乙方已包含在报价中。因设计变更减少工作量，劳务、机械等报酬据实结算，工期相应调整。</w:t>
      </w:r>
    </w:p>
    <w:p>
      <w:pPr>
        <w:tabs>
          <w:tab w:val="left" w:pos="585"/>
        </w:tabs>
        <w:ind w:firstLine="480" w:firstLineChars="200"/>
        <w:rPr>
          <w:rFonts w:ascii="方正仿宋_GBK" w:hAnsi="方正仿宋_GBK" w:eastAsia="方正仿宋_GBK" w:cs="方正仿宋_GBK"/>
          <w:bCs/>
          <w:snapToGrid w:val="0"/>
          <w:kern w:val="21"/>
          <w:position w:val="2"/>
          <w:sz w:val="24"/>
        </w:rPr>
      </w:pPr>
      <w:r>
        <w:rPr>
          <w:rFonts w:hint="eastAsia" w:ascii="方正仿宋_GBK" w:hAnsi="方正仿宋_GBK" w:eastAsia="方正仿宋_GBK" w:cs="方正仿宋_GBK"/>
          <w:bCs/>
          <w:snapToGrid w:val="0"/>
          <w:kern w:val="21"/>
          <w:position w:val="2"/>
          <w:sz w:val="24"/>
        </w:rPr>
        <w:t>2、因甲方原因造成工程质量不合格而返工重做的，按本合同约定的办法进行计价。</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二、</w:t>
      </w:r>
      <w:r>
        <w:rPr>
          <w:rFonts w:hint="eastAsia" w:ascii="方正仿宋_GBK" w:hAnsi="方正仿宋_GBK" w:eastAsia="方正仿宋_GBK" w:cs="方正仿宋_GBK"/>
          <w:bCs/>
          <w:snapToGrid w:val="0"/>
          <w:kern w:val="21"/>
          <w:position w:val="2"/>
          <w:sz w:val="24"/>
        </w:rPr>
        <w:t>乙方违约责任</w:t>
      </w:r>
      <w:r>
        <w:rPr>
          <w:rFonts w:hint="eastAsia" w:ascii="方正仿宋_GBK" w:hAnsi="方正仿宋_GBK" w:eastAsia="方正仿宋_GBK" w:cs="方正仿宋_GBK"/>
          <w:snapToGrid w:val="0"/>
          <w:kern w:val="21"/>
          <w:position w:val="2"/>
          <w:sz w:val="24"/>
        </w:rPr>
        <w:t>（执行建设单位与甲方签订合同约定的相关条款）</w:t>
      </w:r>
    </w:p>
    <w:p>
      <w:pPr>
        <w:tabs>
          <w:tab w:val="left" w:pos="0"/>
        </w:tabs>
        <w:ind w:firstLine="480" w:firstLineChars="200"/>
        <w:rPr>
          <w:rFonts w:ascii="方正仿宋_GBK" w:hAnsi="方正仿宋_GBK" w:eastAsia="方正仿宋_GBK" w:cs="方正仿宋_GBK"/>
          <w:bCs/>
          <w:snapToGrid w:val="0"/>
          <w:kern w:val="21"/>
          <w:position w:val="2"/>
          <w:sz w:val="24"/>
        </w:rPr>
      </w:pPr>
      <w:r>
        <w:rPr>
          <w:rFonts w:hint="eastAsia" w:ascii="方正仿宋_GBK" w:hAnsi="方正仿宋_GBK" w:eastAsia="方正仿宋_GBK" w:cs="方正仿宋_GBK"/>
          <w:bCs/>
          <w:snapToGrid w:val="0"/>
          <w:kern w:val="21"/>
          <w:position w:val="2"/>
          <w:sz w:val="24"/>
        </w:rPr>
        <w:t>1、乙方因自身原因延期交工的，每延误一日，向甲方支付3000元的违约金。</w:t>
      </w:r>
    </w:p>
    <w:p>
      <w:pPr>
        <w:tabs>
          <w:tab w:val="left" w:pos="0"/>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2、乙方违背甲方指令、通知等文件或不执行甲方指令和通知等文件的，每出现1次向甲方支付违约金3000元，违约金不足以弥补造成的损失的由乙方补足金额。</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3、乙方不执行甲方的停工指令或擅自复工，每出现1次向甲方支付违约金3000元，违约金不足以弥补造成的损失的由乙方补足金额。</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4、乙方未按合同约定开具增值税专用发票或实际开具的增值税专用发票税率低于合同中约定税率的，乙方除应向甲方支付无法抵扣部分的税款金额外，乙方还应向甲方支付合同总价</w:t>
      </w:r>
      <w:r>
        <w:rPr>
          <w:rFonts w:hint="eastAsia" w:ascii="方正仿宋_GBK" w:hAnsi="方正仿宋_GBK" w:eastAsia="方正仿宋_GBK" w:cs="方正仿宋_GBK"/>
          <w:snapToGrid w:val="0"/>
          <w:kern w:val="21"/>
          <w:position w:val="2"/>
          <w:sz w:val="24"/>
          <w:u w:val="single"/>
        </w:rPr>
        <w:t>0.5 %</w:t>
      </w:r>
      <w:r>
        <w:rPr>
          <w:rFonts w:hint="eastAsia" w:ascii="方正仿宋_GBK" w:hAnsi="方正仿宋_GBK" w:eastAsia="方正仿宋_GBK" w:cs="方正仿宋_GBK"/>
          <w:snapToGrid w:val="0"/>
          <w:kern w:val="21"/>
          <w:position w:val="2"/>
          <w:sz w:val="24"/>
        </w:rPr>
        <w:t>的违约金，违约金不足以弥补甲方损失的由乙方补足金额。</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5、乙方开具虚假、作废等无效发票或者违反国家法律法规开具、提供发票的，乙方应自行承担相应法律责任，并应向甲方支付合同总价</w:t>
      </w:r>
      <w:r>
        <w:rPr>
          <w:rFonts w:hint="eastAsia" w:ascii="方正仿宋_GBK" w:hAnsi="方正仿宋_GBK" w:eastAsia="方正仿宋_GBK" w:cs="方正仿宋_GBK"/>
          <w:snapToGrid w:val="0"/>
          <w:kern w:val="21"/>
          <w:position w:val="2"/>
          <w:sz w:val="24"/>
          <w:u w:val="single"/>
        </w:rPr>
        <w:t>3 %</w:t>
      </w:r>
      <w:r>
        <w:rPr>
          <w:rFonts w:hint="eastAsia" w:ascii="方正仿宋_GBK" w:hAnsi="方正仿宋_GBK" w:eastAsia="方正仿宋_GBK" w:cs="方正仿宋_GBK"/>
          <w:snapToGrid w:val="0"/>
          <w:kern w:val="21"/>
          <w:position w:val="2"/>
          <w:sz w:val="24"/>
        </w:rPr>
        <w:t>的违约金；以上违约金不足以弥补甲方损失的，乙方应予赔偿；乙方重新开具的发票仍与合同约定不符的，乙方除按本项前述约定承担责任外，甲方拒绝接收；乙方无法开具发票的，乙方除按本项前述约定承担责任外，乙方应退还甲方已付款项，赔偿由此给甲方造成的全部损失，甲方有权解除合同。</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color w:val="FF0000"/>
          <w:kern w:val="21"/>
          <w:position w:val="2"/>
          <w:sz w:val="24"/>
        </w:rPr>
        <w:t>三、乙方有下列情形之一者，甲方有权扣除已完成劳务价款总价</w:t>
      </w:r>
      <w:r>
        <w:rPr>
          <w:rFonts w:hint="eastAsia" w:ascii="方正仿宋_GBK" w:hAnsi="方正仿宋_GBK" w:eastAsia="方正仿宋_GBK" w:cs="方正仿宋_GBK"/>
          <w:snapToGrid w:val="0"/>
          <w:color w:val="FF0000"/>
          <w:kern w:val="21"/>
          <w:position w:val="2"/>
          <w:sz w:val="24"/>
          <w:u w:val="single"/>
        </w:rPr>
        <w:t xml:space="preserve">3% </w:t>
      </w:r>
      <w:r>
        <w:rPr>
          <w:rFonts w:hint="eastAsia" w:ascii="方正仿宋_GBK" w:hAnsi="方正仿宋_GBK" w:eastAsia="方正仿宋_GBK" w:cs="方正仿宋_GBK"/>
          <w:snapToGrid w:val="0"/>
          <w:color w:val="FF0000"/>
          <w:kern w:val="21"/>
          <w:position w:val="2"/>
          <w:sz w:val="24"/>
        </w:rPr>
        <w:t>的违约金，</w:t>
      </w:r>
      <w:r>
        <w:rPr>
          <w:rFonts w:hint="eastAsia" w:ascii="方正仿宋_GBK" w:hAnsi="方正仿宋_GBK" w:eastAsia="方正仿宋_GBK" w:cs="方正仿宋_GBK"/>
          <w:snapToGrid w:val="0"/>
          <w:kern w:val="21"/>
          <w:position w:val="2"/>
          <w:sz w:val="24"/>
        </w:rPr>
        <w:t>甲方有权单方面解除合同，乙方向甲方支付的履约保证金不予退还，涉嫌构成犯罪的，交由司法机关处理。</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1、乙方上场的人员、小型机具设备不能满足合同要求，严重影响合同履行的。</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2、乙方施工质量达不到要求，甲方要求乙方无偿返工或修复，返工返修后仍达不到质量要求的。</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3、乙方不按甲方安全交底要求进行施工；乙方安全措施、设施、物资不能保证施工安全；乙方现场施工工序失衡，已施工工程存在重大安全隐患或已造成重大安全事故的。</w:t>
      </w:r>
    </w:p>
    <w:p>
      <w:pPr>
        <w:ind w:firstLine="480" w:firstLineChars="200"/>
        <w:rPr>
          <w:rFonts w:ascii="方正仿宋_GBK" w:hAnsi="方正仿宋_GBK" w:eastAsia="方正仿宋_GBK" w:cs="方正仿宋_GBK"/>
          <w:snapToGrid w:val="0"/>
          <w:kern w:val="21"/>
          <w:position w:val="2"/>
          <w:sz w:val="24"/>
          <w:u w:val="single"/>
        </w:rPr>
      </w:pPr>
      <w:r>
        <w:rPr>
          <w:rFonts w:hint="eastAsia" w:ascii="方正仿宋_GBK" w:hAnsi="方正仿宋_GBK" w:eastAsia="方正仿宋_GBK" w:cs="方正仿宋_GBK"/>
          <w:snapToGrid w:val="0"/>
          <w:kern w:val="21"/>
          <w:position w:val="2"/>
          <w:sz w:val="24"/>
        </w:rPr>
        <w:t>4、乙方施工进度达不到双方约定要求的。</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5、乙方以任何形式将本合同项目进行分包、转包的。</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6、乙方以甲方及甲方项目部名义对任何第三方进行生产经营和施工管理活动的。</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7、乙方擅自停工1天以上（含1天）的。</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8、乙方以发工人工资为由要求甲方支付超出正常费用外的</w:t>
      </w:r>
      <w:r>
        <w:rPr>
          <w:rFonts w:hint="eastAsia" w:ascii="方正仿宋_GBK" w:hAnsi="方正仿宋_GBK" w:eastAsia="方正仿宋_GBK" w:cs="方正仿宋_GBK"/>
          <w:snapToGrid w:val="0"/>
          <w:color w:val="00011F"/>
          <w:kern w:val="21"/>
          <w:position w:val="2"/>
          <w:sz w:val="24"/>
        </w:rPr>
        <w:t>，</w:t>
      </w:r>
      <w:r>
        <w:rPr>
          <w:rFonts w:hint="eastAsia" w:ascii="方正仿宋_GBK" w:hAnsi="方正仿宋_GBK" w:eastAsia="方正仿宋_GBK" w:cs="方正仿宋_GBK"/>
          <w:snapToGrid w:val="0"/>
          <w:kern w:val="21"/>
          <w:position w:val="2"/>
          <w:sz w:val="24"/>
        </w:rPr>
        <w:t>或因工资纠纷擅自停工、聚众滋事的。</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9、非法挂靠，无法按甲方要求开具税票。</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10、乙方因亏损、利润低、人员不足等理由，拒绝继续履行合同。</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四、对因本合同第八条第三款原因造成合同解除的，乙方承诺自甲方解除合同通知书送达之日起5天日内将人员、设备、机具等全部撤出施工现场并承担撤场费用，同时向甲方移交施工场地，每逾期1天向甲方支付违约金30000元，同时在15天内办理完结算手续，否则造成的一切损失由乙方承担。乙方已完工程部分按第八条第三款和本合同有关规定计价。</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第九条  </w:t>
      </w:r>
      <w:r>
        <w:rPr>
          <w:rFonts w:hint="eastAsia" w:ascii="方正仿宋_GBK" w:hAnsi="方正仿宋_GBK" w:eastAsia="方正仿宋_GBK" w:cs="方正仿宋_GBK"/>
          <w:snapToGrid w:val="0"/>
          <w:kern w:val="21"/>
          <w:position w:val="2"/>
          <w:sz w:val="24"/>
        </w:rPr>
        <w:t>纠纷解决办法</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一、甲方和乙方在履行合同时发生争议，可以自行和解或要求有关主管部门调解，任何一方不愿和解、调解或和解、调解不成的，双方约定可采用下列第</w:t>
      </w:r>
      <w:r>
        <w:rPr>
          <w:rFonts w:hint="eastAsia" w:ascii="方正仿宋_GBK" w:hAnsi="方正仿宋_GBK" w:eastAsia="方正仿宋_GBK" w:cs="方正仿宋_GBK"/>
          <w:snapToGrid w:val="0"/>
          <w:kern w:val="21"/>
          <w:position w:val="2"/>
          <w:sz w:val="24"/>
          <w:highlight w:val="yellow"/>
          <w:u w:val="single"/>
        </w:rPr>
        <w:t xml:space="preserve">    </w:t>
      </w:r>
      <w:r>
        <w:rPr>
          <w:rFonts w:hint="eastAsia" w:ascii="方正仿宋_GBK" w:hAnsi="方正仿宋_GBK" w:eastAsia="方正仿宋_GBK" w:cs="方正仿宋_GBK"/>
          <w:snapToGrid w:val="0"/>
          <w:kern w:val="21"/>
          <w:position w:val="2"/>
          <w:sz w:val="24"/>
        </w:rPr>
        <w:t>种方式解决争议：</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 xml:space="preserve">    (1)双方达成仲裁协议，向扬州仲裁委员会申请仲裁；</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 xml:space="preserve">    (2)向甲方法人机关注册地的法院起诉。</w:t>
      </w:r>
    </w:p>
    <w:p>
      <w:pPr>
        <w:ind w:firstLine="482" w:firstLineChars="200"/>
        <w:rPr>
          <w:rFonts w:ascii="方正仿宋_GBK" w:hAnsi="方正仿宋_GBK" w:eastAsia="方正仿宋_GBK" w:cs="方正仿宋_GBK"/>
          <w:b/>
          <w:snapToGrid w:val="0"/>
          <w:kern w:val="21"/>
          <w:position w:val="2"/>
          <w:sz w:val="24"/>
        </w:rPr>
      </w:pPr>
      <w:r>
        <w:rPr>
          <w:rFonts w:hint="eastAsia" w:ascii="方正仿宋_GBK" w:hAnsi="方正仿宋_GBK" w:eastAsia="方正仿宋_GBK" w:cs="方正仿宋_GBK"/>
          <w:b/>
          <w:snapToGrid w:val="0"/>
          <w:kern w:val="21"/>
          <w:position w:val="2"/>
          <w:sz w:val="24"/>
        </w:rPr>
        <w:t xml:space="preserve">第十条  </w:t>
      </w:r>
      <w:r>
        <w:rPr>
          <w:rFonts w:hint="eastAsia" w:ascii="方正仿宋_GBK" w:hAnsi="方正仿宋_GBK" w:eastAsia="方正仿宋_GBK" w:cs="方正仿宋_GBK"/>
          <w:snapToGrid w:val="0"/>
          <w:kern w:val="21"/>
          <w:position w:val="2"/>
          <w:sz w:val="24"/>
        </w:rPr>
        <w:t>附   则</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一、本合同自甲乙双方签字和盖章之日起生效，双方办理结算后，合同关系即告终止。</w:t>
      </w:r>
    </w:p>
    <w:p>
      <w:pPr>
        <w:pStyle w:val="11"/>
        <w:spacing w:after="0"/>
        <w:ind w:firstLine="480" w:firstLineChars="200"/>
        <w:rPr>
          <w:rFonts w:ascii="方正仿宋_GBK" w:hAnsi="方正仿宋_GBK" w:eastAsia="方正仿宋_GBK" w:cs="方正仿宋_GBK"/>
          <w:snapToGrid w:val="0"/>
          <w:kern w:val="21"/>
          <w:position w:val="2"/>
          <w:sz w:val="24"/>
          <w:szCs w:val="24"/>
        </w:rPr>
      </w:pPr>
      <w:r>
        <w:rPr>
          <w:rFonts w:hint="eastAsia" w:ascii="方正仿宋_GBK" w:hAnsi="方正仿宋_GBK" w:eastAsia="方正仿宋_GBK" w:cs="方正仿宋_GBK"/>
          <w:snapToGrid w:val="0"/>
          <w:kern w:val="21"/>
          <w:position w:val="2"/>
          <w:sz w:val="24"/>
          <w:szCs w:val="24"/>
        </w:rPr>
        <w:t>二、本合同签订后，甲乙双方如需提出补充或修改时，经双方协商一致后，可以签订补充协议，作为补充合同。</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三、本合同正本一式四份，甲方二份，乙方二份。</w:t>
      </w:r>
    </w:p>
    <w:p>
      <w:pPr>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bCs/>
          <w:snapToGrid w:val="0"/>
          <w:kern w:val="21"/>
          <w:position w:val="2"/>
          <w:sz w:val="24"/>
        </w:rPr>
        <w:t>四、</w:t>
      </w:r>
      <w:r>
        <w:rPr>
          <w:rFonts w:hint="eastAsia" w:ascii="方正仿宋_GBK" w:hAnsi="方正仿宋_GBK" w:eastAsia="方正仿宋_GBK" w:cs="方正仿宋_GBK"/>
          <w:snapToGrid w:val="0"/>
          <w:kern w:val="21"/>
          <w:position w:val="2"/>
          <w:sz w:val="24"/>
        </w:rPr>
        <w:t>本合同相关附表为本合同有效组成部分。</w:t>
      </w:r>
    </w:p>
    <w:p>
      <w:pPr>
        <w:tabs>
          <w:tab w:val="center" w:pos="4153"/>
        </w:tabs>
        <w:ind w:firstLine="480" w:firstLineChars="200"/>
        <w:rPr>
          <w:rFonts w:ascii="方正仿宋_GBK" w:hAnsi="方正仿宋_GBK" w:eastAsia="方正仿宋_GBK" w:cs="方正仿宋_GBK"/>
          <w:snapToGrid w:val="0"/>
          <w:kern w:val="21"/>
          <w:position w:val="2"/>
          <w:sz w:val="24"/>
        </w:rPr>
      </w:pPr>
    </w:p>
    <w:p>
      <w:pPr>
        <w:tabs>
          <w:tab w:val="center" w:pos="4153"/>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甲方：</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 xml:space="preserve"> （签章）     乙方：</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 xml:space="preserve"> （签章）</w:t>
      </w:r>
    </w:p>
    <w:p>
      <w:pPr>
        <w:tabs>
          <w:tab w:val="center" w:pos="4153"/>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法定代表人：</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 xml:space="preserve"> （签章）     法定代表人：</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（签章）</w:t>
      </w:r>
    </w:p>
    <w:p>
      <w:pPr>
        <w:tabs>
          <w:tab w:val="center" w:pos="4153"/>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或委托代理人：</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（签章）     或委托代理人：</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 xml:space="preserve">（签章）                  </w:t>
      </w:r>
    </w:p>
    <w:p>
      <w:pPr>
        <w:tabs>
          <w:tab w:val="center" w:pos="4153"/>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纳税人识别号：</w:t>
      </w:r>
      <w:r>
        <w:rPr>
          <w:rFonts w:hint="eastAsia" w:ascii="方正仿宋_GBK" w:hAnsi="方正仿宋_GBK" w:eastAsia="方正仿宋_GBK" w:cs="方正仿宋_GBK"/>
          <w:snapToGrid w:val="0"/>
          <w:color w:val="000000"/>
          <w:kern w:val="21"/>
          <w:position w:val="2"/>
          <w:sz w:val="24"/>
        </w:rPr>
        <w:t xml:space="preserve">                  </w:t>
      </w:r>
      <w:r>
        <w:rPr>
          <w:rFonts w:hint="eastAsia" w:ascii="方正仿宋_GBK" w:hAnsi="方正仿宋_GBK" w:eastAsia="方正仿宋_GBK" w:cs="方正仿宋_GBK"/>
          <w:snapToGrid w:val="0"/>
          <w:kern w:val="21"/>
          <w:position w:val="2"/>
          <w:sz w:val="24"/>
        </w:rPr>
        <w:t xml:space="preserve">          纳税人识别号:</w:t>
      </w:r>
    </w:p>
    <w:p>
      <w:pPr>
        <w:tabs>
          <w:tab w:val="center" w:pos="4153"/>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开户行名：</w:t>
      </w:r>
      <w:r>
        <w:rPr>
          <w:rFonts w:hint="eastAsia" w:ascii="方正仿宋_GBK" w:hAnsi="方正仿宋_GBK" w:eastAsia="方正仿宋_GBK" w:cs="方正仿宋_GBK"/>
          <w:snapToGrid w:val="0"/>
          <w:color w:val="000000"/>
          <w:kern w:val="21"/>
          <w:position w:val="2"/>
          <w:sz w:val="24"/>
        </w:rPr>
        <w:t xml:space="preserve">              </w:t>
      </w:r>
      <w:r>
        <w:rPr>
          <w:rFonts w:hint="eastAsia" w:ascii="方正仿宋_GBK" w:hAnsi="方正仿宋_GBK" w:eastAsia="方正仿宋_GBK" w:cs="方正仿宋_GBK"/>
          <w:snapToGrid w:val="0"/>
          <w:kern w:val="21"/>
          <w:position w:val="2"/>
          <w:sz w:val="24"/>
        </w:rPr>
        <w:t xml:space="preserve">                  开户行名称：</w:t>
      </w:r>
    </w:p>
    <w:p>
      <w:pPr>
        <w:tabs>
          <w:tab w:val="center" w:pos="4153"/>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开户账号：                                开户账号：</w:t>
      </w:r>
    </w:p>
    <w:p>
      <w:pPr>
        <w:tabs>
          <w:tab w:val="center" w:pos="4153"/>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指定送达地址：                            指定送达地址：</w:t>
      </w:r>
    </w:p>
    <w:p>
      <w:pPr>
        <w:tabs>
          <w:tab w:val="center" w:pos="4153"/>
        </w:tabs>
        <w:ind w:firstLine="480" w:firstLineChars="2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电话：                                    电话：</w:t>
      </w:r>
    </w:p>
    <w:p>
      <w:pPr>
        <w:ind w:firstLine="480" w:firstLineChars="200"/>
        <w:rPr>
          <w:rFonts w:ascii="方正仿宋_GBK" w:hAnsi="方正仿宋_GBK" w:eastAsia="方正仿宋_GBK" w:cs="方正仿宋_GBK"/>
          <w:snapToGrid w:val="0"/>
          <w:kern w:val="21"/>
          <w:position w:val="2"/>
          <w:sz w:val="24"/>
        </w:rPr>
      </w:pPr>
    </w:p>
    <w:p>
      <w:pPr>
        <w:ind w:firstLine="4080" w:firstLineChars="1700"/>
        <w:rPr>
          <w:rFonts w:ascii="方正仿宋_GBK" w:hAnsi="方正仿宋_GBK" w:eastAsia="方正仿宋_GBK" w:cs="方正仿宋_GBK"/>
          <w:snapToGrid w:val="0"/>
          <w:kern w:val="21"/>
          <w:position w:val="2"/>
          <w:sz w:val="24"/>
        </w:rPr>
      </w:pPr>
      <w:r>
        <w:rPr>
          <w:rFonts w:hint="eastAsia" w:ascii="方正仿宋_GBK" w:hAnsi="方正仿宋_GBK" w:eastAsia="方正仿宋_GBK" w:cs="方正仿宋_GBK"/>
          <w:snapToGrid w:val="0"/>
          <w:kern w:val="21"/>
          <w:position w:val="2"/>
          <w:sz w:val="24"/>
        </w:rPr>
        <w:t>签订时间：</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年</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月</w:t>
      </w:r>
      <w:r>
        <w:rPr>
          <w:rFonts w:hint="eastAsia" w:ascii="方正仿宋_GBK" w:hAnsi="方正仿宋_GBK" w:eastAsia="方正仿宋_GBK" w:cs="方正仿宋_GBK"/>
          <w:snapToGrid w:val="0"/>
          <w:kern w:val="21"/>
          <w:position w:val="2"/>
          <w:sz w:val="24"/>
          <w:u w:val="single"/>
        </w:rPr>
        <w:t xml:space="preserve">      </w:t>
      </w:r>
      <w:r>
        <w:rPr>
          <w:rFonts w:hint="eastAsia" w:ascii="方正仿宋_GBK" w:hAnsi="方正仿宋_GBK" w:eastAsia="方正仿宋_GBK" w:cs="方正仿宋_GBK"/>
          <w:snapToGrid w:val="0"/>
          <w:kern w:val="21"/>
          <w:position w:val="2"/>
          <w:sz w:val="24"/>
        </w:rPr>
        <w:t>日</w:t>
      </w:r>
    </w:p>
    <w:p>
      <w:pPr>
        <w:pStyle w:val="25"/>
        <w:ind w:left="0" w:right="0"/>
        <w:jc w:val="center"/>
        <w:rPr>
          <w:sz w:val="28"/>
          <w:szCs w:val="28"/>
        </w:rPr>
      </w:pPr>
      <w:r>
        <w:rPr>
          <w:rFonts w:hint="eastAsia" w:ascii="方正仿宋_GBK" w:hAnsi="方正仿宋_GBK" w:eastAsia="方正仿宋_GBK" w:cs="方正仿宋_GBK"/>
          <w:snapToGrid w:val="0"/>
          <w:kern w:val="21"/>
          <w:position w:val="2"/>
          <w:lang w:val="en-US" w:eastAsia="zh-CN"/>
        </w:rPr>
        <w:t xml:space="preserve">         </w:t>
      </w:r>
      <w:r>
        <w:rPr>
          <w:rFonts w:hint="eastAsia" w:ascii="方正仿宋_GBK" w:hAnsi="方正仿宋_GBK" w:eastAsia="方正仿宋_GBK" w:cs="方正仿宋_GBK"/>
          <w:snapToGrid w:val="0"/>
          <w:kern w:val="21"/>
          <w:position w:val="2"/>
        </w:rPr>
        <w:t>签订地点：</w:t>
      </w:r>
      <w:r>
        <w:rPr>
          <w:rFonts w:hint="eastAsia" w:ascii="方正仿宋_GBK" w:hAnsi="方正仿宋_GBK" w:eastAsia="方正仿宋_GBK" w:cs="方正仿宋_GBK"/>
          <w:snapToGrid w:val="0"/>
          <w:kern w:val="21"/>
          <w:position w:val="2"/>
          <w:u w:val="single"/>
        </w:rPr>
        <w:t xml:space="preserve">              </w:t>
      </w:r>
      <w:r>
        <w:rPr>
          <w:rFonts w:hint="eastAsia" w:ascii="方正仿宋_GBK" w:hAnsi="方正仿宋_GBK" w:eastAsia="方正仿宋_GBK" w:cs="方正仿宋_GBK"/>
          <w:snapToGrid w:val="0"/>
          <w:kern w:val="21"/>
          <w:position w:val="2"/>
          <w:u w:val="single"/>
          <w:lang w:val="en-US" w:eastAsia="zh-CN"/>
        </w:rPr>
        <w:t xml:space="preserve">        </w:t>
      </w:r>
      <w:bookmarkStart w:id="17" w:name="_GoBack"/>
      <w:bookmarkEnd w:id="17"/>
      <w:r>
        <w:rPr>
          <w:rFonts w:hint="eastAsia" w:ascii="方正仿宋_GBK" w:hAnsi="方正仿宋_GBK" w:eastAsia="方正仿宋_GBK" w:cs="方正仿宋_GBK"/>
          <w:snapToGrid w:val="0"/>
          <w:kern w:val="21"/>
          <w:position w:val="2"/>
          <w:u w:val="single"/>
        </w:rPr>
        <w:t xml:space="preserve"> </w:t>
      </w:r>
      <w:r>
        <w:rPr>
          <w:rFonts w:hint="eastAsia" w:hAnsi="宋体"/>
          <w:sz w:val="28"/>
        </w:rPr>
        <w:t xml:space="preserve">                               </w:t>
      </w:r>
      <w:r>
        <w:rPr>
          <w:rFonts w:hAnsi="宋体"/>
          <w:sz w:val="28"/>
        </w:rPr>
        <w:t xml:space="preserve">                        </w:t>
      </w:r>
    </w:p>
    <w:sectPr>
      <w:headerReference r:id="rId4" w:type="default"/>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宋体"/>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3163570</wp:posOffset>
              </wp:positionH>
              <wp:positionV relativeFrom="paragraph">
                <wp:posOffset>0</wp:posOffset>
              </wp:positionV>
              <wp:extent cx="391795" cy="1574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91795" cy="1574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9.1pt;margin-top:0pt;height:12.4pt;width:30.85pt;mso-position-horizontal-relative:margin;z-index:251659264;mso-width-relative:page;mso-height-relative:page;" filled="f" stroked="f" coordsize="21600,21600" o:gfxdata="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NL9mctcAAAAHAQAADwAAAAAAAAABACAAAAAiAAAAZHJzL2Rvd25y&#10;ZXYueG1sUEsBAhQAFAAAAAgAh07iQPo7RsjjAgAAJAYAAA4AAAAAAAAAAQAgAAAAJgEAAGRycy9l&#10;Mm9Eb2MueG1sUEsFBgAAAAAGAAYAWQEAAHsGAAAAAA==&#10;">
              <v:fill on="f" focussize="0,0"/>
              <v:stroke on="f" weight="0.5pt"/>
              <v:imagedata o:title=""/>
              <o:lock v:ext="edit" aspectratio="f"/>
              <v:textbox inset="0mm,0mm,0mm,0mm">
                <w:txbxContent>
                  <w:p>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93707"/>
    <w:multiLevelType w:val="singleLevel"/>
    <w:tmpl w:val="B1193707"/>
    <w:lvl w:ilvl="0" w:tentative="0">
      <w:start w:val="1"/>
      <w:numFmt w:val="chineseCounting"/>
      <w:suff w:val="nothing"/>
      <w:lvlText w:val="%1、"/>
      <w:lvlJc w:val="left"/>
      <w:pPr>
        <w:ind w:left="0" w:firstLine="420"/>
      </w:pPr>
      <w:rPr>
        <w:rFonts w:hint="eastAsia"/>
      </w:rPr>
    </w:lvl>
  </w:abstractNum>
  <w:abstractNum w:abstractNumId="1">
    <w:nsid w:val="CC4CC2B7"/>
    <w:multiLevelType w:val="singleLevel"/>
    <w:tmpl w:val="CC4CC2B7"/>
    <w:lvl w:ilvl="0" w:tentative="0">
      <w:start w:val="1"/>
      <w:numFmt w:val="chineseCounting"/>
      <w:suff w:val="nothing"/>
      <w:lvlText w:val="%1、"/>
      <w:lvlJc w:val="left"/>
      <w:pPr>
        <w:ind w:left="714" w:firstLine="420"/>
      </w:pPr>
      <w:rPr>
        <w:rFonts w:hint="eastAsia"/>
      </w:rPr>
    </w:lvl>
  </w:abstractNum>
  <w:abstractNum w:abstractNumId="2">
    <w:nsid w:val="08A1DC3E"/>
    <w:multiLevelType w:val="singleLevel"/>
    <w:tmpl w:val="08A1DC3E"/>
    <w:lvl w:ilvl="0" w:tentative="0">
      <w:start w:val="1"/>
      <w:numFmt w:val="decimal"/>
      <w:suff w:val="nothing"/>
      <w:lvlText w:val="（%1）"/>
      <w:lvlJc w:val="left"/>
    </w:lvl>
  </w:abstractNum>
  <w:abstractNum w:abstractNumId="3">
    <w:nsid w:val="594D2225"/>
    <w:multiLevelType w:val="multilevel"/>
    <w:tmpl w:val="594D2225"/>
    <w:lvl w:ilvl="0" w:tentative="0">
      <w:start w:val="6"/>
      <w:numFmt w:val="japaneseCounting"/>
      <w:lvlText w:val="第%1章"/>
      <w:lvlJc w:val="left"/>
      <w:pPr>
        <w:tabs>
          <w:tab w:val="left" w:pos="2169"/>
        </w:tabs>
        <w:ind w:left="2169" w:hanging="1110"/>
      </w:pPr>
      <w:rPr>
        <w:rFonts w:hint="default"/>
      </w:rPr>
    </w:lvl>
    <w:lvl w:ilvl="1" w:tentative="0">
      <w:start w:val="1"/>
      <w:numFmt w:val="decimal"/>
      <w:lvlText w:val="（%2）"/>
      <w:lvlJc w:val="left"/>
      <w:pPr>
        <w:tabs>
          <w:tab w:val="left" w:pos="2199"/>
        </w:tabs>
        <w:ind w:left="2199" w:hanging="720"/>
      </w:pPr>
      <w:rPr>
        <w:rFonts w:hint="eastAsia"/>
      </w:rPr>
    </w:lvl>
    <w:lvl w:ilvl="2" w:tentative="0">
      <w:start w:val="1"/>
      <w:numFmt w:val="decimal"/>
      <w:lvlText w:val="%3."/>
      <w:lvlJc w:val="left"/>
      <w:pPr>
        <w:tabs>
          <w:tab w:val="left" w:pos="2259"/>
        </w:tabs>
        <w:ind w:left="2259" w:hanging="360"/>
      </w:pPr>
      <w:rPr>
        <w:rFonts w:hint="eastAsia"/>
      </w:rPr>
    </w:lvl>
    <w:lvl w:ilvl="3" w:tentative="0">
      <w:start w:val="1"/>
      <w:numFmt w:val="decimal"/>
      <w:lvlText w:val="%4."/>
      <w:lvlJc w:val="left"/>
      <w:pPr>
        <w:tabs>
          <w:tab w:val="left" w:pos="2739"/>
        </w:tabs>
        <w:ind w:left="2739" w:hanging="420"/>
      </w:pPr>
    </w:lvl>
    <w:lvl w:ilvl="4" w:tentative="0">
      <w:start w:val="1"/>
      <w:numFmt w:val="lowerLetter"/>
      <w:lvlText w:val="%5)"/>
      <w:lvlJc w:val="left"/>
      <w:pPr>
        <w:tabs>
          <w:tab w:val="left" w:pos="3159"/>
        </w:tabs>
        <w:ind w:left="3159" w:hanging="420"/>
      </w:pPr>
    </w:lvl>
    <w:lvl w:ilvl="5" w:tentative="0">
      <w:start w:val="1"/>
      <w:numFmt w:val="lowerRoman"/>
      <w:lvlText w:val="%6."/>
      <w:lvlJc w:val="right"/>
      <w:pPr>
        <w:tabs>
          <w:tab w:val="left" w:pos="3579"/>
        </w:tabs>
        <w:ind w:left="3579" w:hanging="420"/>
      </w:pPr>
    </w:lvl>
    <w:lvl w:ilvl="6" w:tentative="0">
      <w:start w:val="1"/>
      <w:numFmt w:val="decimal"/>
      <w:lvlText w:val="%7."/>
      <w:lvlJc w:val="left"/>
      <w:pPr>
        <w:tabs>
          <w:tab w:val="left" w:pos="3999"/>
        </w:tabs>
        <w:ind w:left="3999" w:hanging="420"/>
      </w:pPr>
    </w:lvl>
    <w:lvl w:ilvl="7" w:tentative="0">
      <w:start w:val="1"/>
      <w:numFmt w:val="lowerLetter"/>
      <w:lvlText w:val="%8)"/>
      <w:lvlJc w:val="left"/>
      <w:pPr>
        <w:tabs>
          <w:tab w:val="left" w:pos="4419"/>
        </w:tabs>
        <w:ind w:left="4419" w:hanging="420"/>
      </w:pPr>
    </w:lvl>
    <w:lvl w:ilvl="8" w:tentative="0">
      <w:start w:val="1"/>
      <w:numFmt w:val="lowerRoman"/>
      <w:lvlText w:val="%9."/>
      <w:lvlJc w:val="right"/>
      <w:pPr>
        <w:tabs>
          <w:tab w:val="left" w:pos="4839"/>
        </w:tabs>
        <w:ind w:left="4839"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Tc0NWRhMzdkNjg4YzdjMzY0ZmY0YzMzNzM1OGUifQ=="/>
    <w:docVar w:name="KSO_WPS_MARK_KEY" w:val="3edd495e-04f2-4dee-b8ee-321d0c2cc41e"/>
  </w:docVars>
  <w:rsids>
    <w:rsidRoot w:val="00910E36"/>
    <w:rsid w:val="000108F6"/>
    <w:rsid w:val="00022355"/>
    <w:rsid w:val="0003774D"/>
    <w:rsid w:val="00043D8A"/>
    <w:rsid w:val="000563AF"/>
    <w:rsid w:val="00063C73"/>
    <w:rsid w:val="00065D7F"/>
    <w:rsid w:val="00083203"/>
    <w:rsid w:val="000840FA"/>
    <w:rsid w:val="00096759"/>
    <w:rsid w:val="000A54F8"/>
    <w:rsid w:val="000C6F48"/>
    <w:rsid w:val="000D17CC"/>
    <w:rsid w:val="000D46D2"/>
    <w:rsid w:val="000D787F"/>
    <w:rsid w:val="000E223F"/>
    <w:rsid w:val="000E43BB"/>
    <w:rsid w:val="00103A02"/>
    <w:rsid w:val="0010412E"/>
    <w:rsid w:val="001067FB"/>
    <w:rsid w:val="001247F8"/>
    <w:rsid w:val="00147E7E"/>
    <w:rsid w:val="001758B8"/>
    <w:rsid w:val="0018235A"/>
    <w:rsid w:val="00191097"/>
    <w:rsid w:val="00196470"/>
    <w:rsid w:val="001A5BDF"/>
    <w:rsid w:val="001B1D9F"/>
    <w:rsid w:val="001D5784"/>
    <w:rsid w:val="001E4D64"/>
    <w:rsid w:val="001E589C"/>
    <w:rsid w:val="0021794B"/>
    <w:rsid w:val="00224F5F"/>
    <w:rsid w:val="00226DC8"/>
    <w:rsid w:val="00253526"/>
    <w:rsid w:val="0025627A"/>
    <w:rsid w:val="00260E95"/>
    <w:rsid w:val="0026209B"/>
    <w:rsid w:val="002628DD"/>
    <w:rsid w:val="0026583A"/>
    <w:rsid w:val="002823C9"/>
    <w:rsid w:val="00282B51"/>
    <w:rsid w:val="00287868"/>
    <w:rsid w:val="00287B9A"/>
    <w:rsid w:val="002A1A9D"/>
    <w:rsid w:val="002B3579"/>
    <w:rsid w:val="002B72EE"/>
    <w:rsid w:val="002C0272"/>
    <w:rsid w:val="002C408A"/>
    <w:rsid w:val="002C6894"/>
    <w:rsid w:val="002D2F0F"/>
    <w:rsid w:val="002D7778"/>
    <w:rsid w:val="002F51B9"/>
    <w:rsid w:val="002F61B1"/>
    <w:rsid w:val="003059B4"/>
    <w:rsid w:val="00306827"/>
    <w:rsid w:val="00321C08"/>
    <w:rsid w:val="00327EDC"/>
    <w:rsid w:val="00333073"/>
    <w:rsid w:val="003435C3"/>
    <w:rsid w:val="00361BD4"/>
    <w:rsid w:val="00361E28"/>
    <w:rsid w:val="00366A7A"/>
    <w:rsid w:val="00372D75"/>
    <w:rsid w:val="003748BD"/>
    <w:rsid w:val="003830B4"/>
    <w:rsid w:val="00394AC8"/>
    <w:rsid w:val="00397EF8"/>
    <w:rsid w:val="003A3549"/>
    <w:rsid w:val="003A3910"/>
    <w:rsid w:val="003A3C88"/>
    <w:rsid w:val="003C0407"/>
    <w:rsid w:val="003C1B80"/>
    <w:rsid w:val="003C6DCE"/>
    <w:rsid w:val="003D6623"/>
    <w:rsid w:val="003E2F15"/>
    <w:rsid w:val="003F17BA"/>
    <w:rsid w:val="003F1ADA"/>
    <w:rsid w:val="00410690"/>
    <w:rsid w:val="004107CB"/>
    <w:rsid w:val="00421AE6"/>
    <w:rsid w:val="004239B1"/>
    <w:rsid w:val="00423F97"/>
    <w:rsid w:val="0042523B"/>
    <w:rsid w:val="00426DD9"/>
    <w:rsid w:val="00435BC6"/>
    <w:rsid w:val="00436B92"/>
    <w:rsid w:val="004443F4"/>
    <w:rsid w:val="00446026"/>
    <w:rsid w:val="00456838"/>
    <w:rsid w:val="00462ED0"/>
    <w:rsid w:val="00466C09"/>
    <w:rsid w:val="00467C93"/>
    <w:rsid w:val="00480CF9"/>
    <w:rsid w:val="0048399C"/>
    <w:rsid w:val="004857F8"/>
    <w:rsid w:val="00487A10"/>
    <w:rsid w:val="004B0AC2"/>
    <w:rsid w:val="004B28B0"/>
    <w:rsid w:val="004B519D"/>
    <w:rsid w:val="004B56F6"/>
    <w:rsid w:val="004C4AC4"/>
    <w:rsid w:val="004E182E"/>
    <w:rsid w:val="005010B8"/>
    <w:rsid w:val="005025FD"/>
    <w:rsid w:val="005029B7"/>
    <w:rsid w:val="005052EF"/>
    <w:rsid w:val="005121FC"/>
    <w:rsid w:val="00515908"/>
    <w:rsid w:val="00515F15"/>
    <w:rsid w:val="00527516"/>
    <w:rsid w:val="00543A27"/>
    <w:rsid w:val="005441C5"/>
    <w:rsid w:val="005448F8"/>
    <w:rsid w:val="00551267"/>
    <w:rsid w:val="00570881"/>
    <w:rsid w:val="00576810"/>
    <w:rsid w:val="00581D8B"/>
    <w:rsid w:val="00582CD3"/>
    <w:rsid w:val="00584A19"/>
    <w:rsid w:val="00595E2F"/>
    <w:rsid w:val="0059693F"/>
    <w:rsid w:val="005A0A1A"/>
    <w:rsid w:val="005A0C0A"/>
    <w:rsid w:val="005A22C8"/>
    <w:rsid w:val="005A25CA"/>
    <w:rsid w:val="005B068F"/>
    <w:rsid w:val="005B77D6"/>
    <w:rsid w:val="005C3928"/>
    <w:rsid w:val="005D0710"/>
    <w:rsid w:val="005F70AB"/>
    <w:rsid w:val="006143D7"/>
    <w:rsid w:val="00615F3D"/>
    <w:rsid w:val="00616ECA"/>
    <w:rsid w:val="00623D0E"/>
    <w:rsid w:val="00624A9F"/>
    <w:rsid w:val="00626F0C"/>
    <w:rsid w:val="00627A6A"/>
    <w:rsid w:val="00635A6E"/>
    <w:rsid w:val="00643B09"/>
    <w:rsid w:val="0065318E"/>
    <w:rsid w:val="00667811"/>
    <w:rsid w:val="00672CAB"/>
    <w:rsid w:val="00673C0A"/>
    <w:rsid w:val="00674490"/>
    <w:rsid w:val="0067673E"/>
    <w:rsid w:val="00680A29"/>
    <w:rsid w:val="00692DFF"/>
    <w:rsid w:val="006C553B"/>
    <w:rsid w:val="006E2E32"/>
    <w:rsid w:val="006F71B6"/>
    <w:rsid w:val="00700AA2"/>
    <w:rsid w:val="0070721D"/>
    <w:rsid w:val="00707508"/>
    <w:rsid w:val="00710828"/>
    <w:rsid w:val="00723ECD"/>
    <w:rsid w:val="007307D5"/>
    <w:rsid w:val="007428B7"/>
    <w:rsid w:val="0074539E"/>
    <w:rsid w:val="00747125"/>
    <w:rsid w:val="00751C88"/>
    <w:rsid w:val="0076395F"/>
    <w:rsid w:val="00763F2C"/>
    <w:rsid w:val="00766CFC"/>
    <w:rsid w:val="00770D62"/>
    <w:rsid w:val="0077249F"/>
    <w:rsid w:val="00774D9A"/>
    <w:rsid w:val="007771E3"/>
    <w:rsid w:val="00790238"/>
    <w:rsid w:val="007969D0"/>
    <w:rsid w:val="007A7C74"/>
    <w:rsid w:val="007B03B9"/>
    <w:rsid w:val="007B0F48"/>
    <w:rsid w:val="007B218F"/>
    <w:rsid w:val="007C031F"/>
    <w:rsid w:val="007C0626"/>
    <w:rsid w:val="007C1889"/>
    <w:rsid w:val="007C4C80"/>
    <w:rsid w:val="007E40C6"/>
    <w:rsid w:val="007E5719"/>
    <w:rsid w:val="007F12EA"/>
    <w:rsid w:val="008032FC"/>
    <w:rsid w:val="0080563D"/>
    <w:rsid w:val="00825E2F"/>
    <w:rsid w:val="00840126"/>
    <w:rsid w:val="00842022"/>
    <w:rsid w:val="008432DD"/>
    <w:rsid w:val="0084426A"/>
    <w:rsid w:val="0084493D"/>
    <w:rsid w:val="008452F2"/>
    <w:rsid w:val="00853606"/>
    <w:rsid w:val="0085624A"/>
    <w:rsid w:val="00857AC3"/>
    <w:rsid w:val="00865A3D"/>
    <w:rsid w:val="0086603B"/>
    <w:rsid w:val="008715F8"/>
    <w:rsid w:val="008775F2"/>
    <w:rsid w:val="00881DE2"/>
    <w:rsid w:val="00882AC4"/>
    <w:rsid w:val="00882AD4"/>
    <w:rsid w:val="00890826"/>
    <w:rsid w:val="00890EE7"/>
    <w:rsid w:val="00892473"/>
    <w:rsid w:val="00893D5B"/>
    <w:rsid w:val="008A72B1"/>
    <w:rsid w:val="008A7511"/>
    <w:rsid w:val="008B291B"/>
    <w:rsid w:val="008B2C54"/>
    <w:rsid w:val="008C7D83"/>
    <w:rsid w:val="008E4409"/>
    <w:rsid w:val="008E5C65"/>
    <w:rsid w:val="008F0161"/>
    <w:rsid w:val="008F2B0C"/>
    <w:rsid w:val="008F2B52"/>
    <w:rsid w:val="009016CC"/>
    <w:rsid w:val="00906F6E"/>
    <w:rsid w:val="00910E36"/>
    <w:rsid w:val="009231D2"/>
    <w:rsid w:val="00937AC3"/>
    <w:rsid w:val="009527F6"/>
    <w:rsid w:val="00954894"/>
    <w:rsid w:val="0095616F"/>
    <w:rsid w:val="00960FC2"/>
    <w:rsid w:val="00962990"/>
    <w:rsid w:val="00976FD6"/>
    <w:rsid w:val="00981CFB"/>
    <w:rsid w:val="00993424"/>
    <w:rsid w:val="009A101E"/>
    <w:rsid w:val="009A4560"/>
    <w:rsid w:val="009B2D97"/>
    <w:rsid w:val="009D484C"/>
    <w:rsid w:val="009D4C9F"/>
    <w:rsid w:val="009E7961"/>
    <w:rsid w:val="00A26710"/>
    <w:rsid w:val="00A303A8"/>
    <w:rsid w:val="00A33ABB"/>
    <w:rsid w:val="00A34A57"/>
    <w:rsid w:val="00A36011"/>
    <w:rsid w:val="00A47184"/>
    <w:rsid w:val="00A509C5"/>
    <w:rsid w:val="00A533C1"/>
    <w:rsid w:val="00A578CD"/>
    <w:rsid w:val="00A631AE"/>
    <w:rsid w:val="00A73A61"/>
    <w:rsid w:val="00A75C51"/>
    <w:rsid w:val="00A76A9D"/>
    <w:rsid w:val="00A82741"/>
    <w:rsid w:val="00A84EFF"/>
    <w:rsid w:val="00A96937"/>
    <w:rsid w:val="00AA568B"/>
    <w:rsid w:val="00AD380C"/>
    <w:rsid w:val="00AE1CC3"/>
    <w:rsid w:val="00AE4EAE"/>
    <w:rsid w:val="00AF06EE"/>
    <w:rsid w:val="00AF1564"/>
    <w:rsid w:val="00AF659C"/>
    <w:rsid w:val="00B02EEF"/>
    <w:rsid w:val="00B1250D"/>
    <w:rsid w:val="00B17B63"/>
    <w:rsid w:val="00B24B99"/>
    <w:rsid w:val="00B260C6"/>
    <w:rsid w:val="00B302E0"/>
    <w:rsid w:val="00B326F3"/>
    <w:rsid w:val="00B336B4"/>
    <w:rsid w:val="00B33797"/>
    <w:rsid w:val="00B3728F"/>
    <w:rsid w:val="00B54C77"/>
    <w:rsid w:val="00B5693C"/>
    <w:rsid w:val="00B61305"/>
    <w:rsid w:val="00B616E5"/>
    <w:rsid w:val="00B62ACA"/>
    <w:rsid w:val="00B651DA"/>
    <w:rsid w:val="00B67EEE"/>
    <w:rsid w:val="00B70142"/>
    <w:rsid w:val="00B7120D"/>
    <w:rsid w:val="00B75AFE"/>
    <w:rsid w:val="00B77DA6"/>
    <w:rsid w:val="00B82A04"/>
    <w:rsid w:val="00B84539"/>
    <w:rsid w:val="00B8456E"/>
    <w:rsid w:val="00B84905"/>
    <w:rsid w:val="00B9215C"/>
    <w:rsid w:val="00B97979"/>
    <w:rsid w:val="00BA2B10"/>
    <w:rsid w:val="00BC006D"/>
    <w:rsid w:val="00BC0B54"/>
    <w:rsid w:val="00BC49B7"/>
    <w:rsid w:val="00BC5CB8"/>
    <w:rsid w:val="00BE7247"/>
    <w:rsid w:val="00BF598C"/>
    <w:rsid w:val="00BF70FF"/>
    <w:rsid w:val="00BF75D0"/>
    <w:rsid w:val="00C0446B"/>
    <w:rsid w:val="00C04540"/>
    <w:rsid w:val="00C11B42"/>
    <w:rsid w:val="00C13274"/>
    <w:rsid w:val="00C141CE"/>
    <w:rsid w:val="00C24012"/>
    <w:rsid w:val="00C259AB"/>
    <w:rsid w:val="00C37231"/>
    <w:rsid w:val="00C41F0D"/>
    <w:rsid w:val="00C44FD5"/>
    <w:rsid w:val="00C5008E"/>
    <w:rsid w:val="00C53869"/>
    <w:rsid w:val="00C5440D"/>
    <w:rsid w:val="00C6139B"/>
    <w:rsid w:val="00C700F7"/>
    <w:rsid w:val="00C7063D"/>
    <w:rsid w:val="00C71647"/>
    <w:rsid w:val="00C829D1"/>
    <w:rsid w:val="00C83825"/>
    <w:rsid w:val="00C87C0C"/>
    <w:rsid w:val="00C9146A"/>
    <w:rsid w:val="00C97EFA"/>
    <w:rsid w:val="00CB03AC"/>
    <w:rsid w:val="00CB0485"/>
    <w:rsid w:val="00CB1455"/>
    <w:rsid w:val="00CB71BF"/>
    <w:rsid w:val="00CB7A5B"/>
    <w:rsid w:val="00CC415F"/>
    <w:rsid w:val="00CE0A12"/>
    <w:rsid w:val="00CE49B4"/>
    <w:rsid w:val="00CF2308"/>
    <w:rsid w:val="00D04BC4"/>
    <w:rsid w:val="00D10308"/>
    <w:rsid w:val="00D121D5"/>
    <w:rsid w:val="00D20004"/>
    <w:rsid w:val="00D26DEB"/>
    <w:rsid w:val="00D41A0F"/>
    <w:rsid w:val="00D53060"/>
    <w:rsid w:val="00D61F33"/>
    <w:rsid w:val="00D657B9"/>
    <w:rsid w:val="00D77DB9"/>
    <w:rsid w:val="00D823EA"/>
    <w:rsid w:val="00D8287E"/>
    <w:rsid w:val="00DA0C5A"/>
    <w:rsid w:val="00DA3432"/>
    <w:rsid w:val="00DA6F01"/>
    <w:rsid w:val="00DB3BF7"/>
    <w:rsid w:val="00DC4348"/>
    <w:rsid w:val="00DC4D61"/>
    <w:rsid w:val="00DD27A1"/>
    <w:rsid w:val="00DD432B"/>
    <w:rsid w:val="00E0191F"/>
    <w:rsid w:val="00E027C1"/>
    <w:rsid w:val="00E062C2"/>
    <w:rsid w:val="00E07AF9"/>
    <w:rsid w:val="00E15AA4"/>
    <w:rsid w:val="00E32F65"/>
    <w:rsid w:val="00E339E9"/>
    <w:rsid w:val="00E33ED3"/>
    <w:rsid w:val="00E42DA9"/>
    <w:rsid w:val="00E503CD"/>
    <w:rsid w:val="00E664A1"/>
    <w:rsid w:val="00E711E5"/>
    <w:rsid w:val="00E715E7"/>
    <w:rsid w:val="00E72535"/>
    <w:rsid w:val="00E725E3"/>
    <w:rsid w:val="00E7436D"/>
    <w:rsid w:val="00EA3BD6"/>
    <w:rsid w:val="00EA4C27"/>
    <w:rsid w:val="00EA5F35"/>
    <w:rsid w:val="00EB507C"/>
    <w:rsid w:val="00EC17CF"/>
    <w:rsid w:val="00EC1D69"/>
    <w:rsid w:val="00EE09AA"/>
    <w:rsid w:val="00EF547F"/>
    <w:rsid w:val="00EF64C5"/>
    <w:rsid w:val="00F01382"/>
    <w:rsid w:val="00F04279"/>
    <w:rsid w:val="00F072F2"/>
    <w:rsid w:val="00F163C2"/>
    <w:rsid w:val="00F25D24"/>
    <w:rsid w:val="00F273F0"/>
    <w:rsid w:val="00F30756"/>
    <w:rsid w:val="00F360EB"/>
    <w:rsid w:val="00F37B82"/>
    <w:rsid w:val="00F46889"/>
    <w:rsid w:val="00F50736"/>
    <w:rsid w:val="00F5633A"/>
    <w:rsid w:val="00F6163F"/>
    <w:rsid w:val="00F65E0B"/>
    <w:rsid w:val="00F70A21"/>
    <w:rsid w:val="00F810BD"/>
    <w:rsid w:val="00F87E4C"/>
    <w:rsid w:val="00F95660"/>
    <w:rsid w:val="00FA672A"/>
    <w:rsid w:val="00FB1E19"/>
    <w:rsid w:val="00FD1833"/>
    <w:rsid w:val="00FE6A08"/>
    <w:rsid w:val="00FF7DA5"/>
    <w:rsid w:val="01913F93"/>
    <w:rsid w:val="078C42BE"/>
    <w:rsid w:val="07B91BAB"/>
    <w:rsid w:val="0BBA4E18"/>
    <w:rsid w:val="0D017872"/>
    <w:rsid w:val="10B1077E"/>
    <w:rsid w:val="11254C21"/>
    <w:rsid w:val="134F0723"/>
    <w:rsid w:val="142C7357"/>
    <w:rsid w:val="148F57CF"/>
    <w:rsid w:val="15B8203D"/>
    <w:rsid w:val="19310118"/>
    <w:rsid w:val="1B103878"/>
    <w:rsid w:val="1CB244DA"/>
    <w:rsid w:val="209633F4"/>
    <w:rsid w:val="215E22F2"/>
    <w:rsid w:val="22537AA7"/>
    <w:rsid w:val="2543456D"/>
    <w:rsid w:val="27E71C99"/>
    <w:rsid w:val="27E80FBB"/>
    <w:rsid w:val="2916615D"/>
    <w:rsid w:val="296456EF"/>
    <w:rsid w:val="2A1B4A63"/>
    <w:rsid w:val="2A350FA1"/>
    <w:rsid w:val="2B3F0F39"/>
    <w:rsid w:val="2B3F4D30"/>
    <w:rsid w:val="2B8E1551"/>
    <w:rsid w:val="2F91389C"/>
    <w:rsid w:val="2F9D0C5E"/>
    <w:rsid w:val="30823D32"/>
    <w:rsid w:val="320C0FFE"/>
    <w:rsid w:val="342310E4"/>
    <w:rsid w:val="349F328B"/>
    <w:rsid w:val="36075658"/>
    <w:rsid w:val="38D8191B"/>
    <w:rsid w:val="3A6C6926"/>
    <w:rsid w:val="3AB029D7"/>
    <w:rsid w:val="3AB250A8"/>
    <w:rsid w:val="3AE22CE9"/>
    <w:rsid w:val="3BC9493A"/>
    <w:rsid w:val="3C687FDC"/>
    <w:rsid w:val="406465A2"/>
    <w:rsid w:val="41867332"/>
    <w:rsid w:val="41EC3530"/>
    <w:rsid w:val="42DA0ACC"/>
    <w:rsid w:val="43542742"/>
    <w:rsid w:val="438A333D"/>
    <w:rsid w:val="444775FC"/>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1B4379"/>
    <w:rsid w:val="666B291E"/>
    <w:rsid w:val="673A0738"/>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 w:val="7CC7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5"/>
    <w:qFormat/>
    <w:uiPriority w:val="0"/>
    <w:pPr>
      <w:keepNext/>
      <w:keepLines/>
      <w:spacing w:before="260" w:after="260" w:line="413" w:lineRule="auto"/>
      <w:outlineLvl w:val="2"/>
    </w:pPr>
    <w:rPr>
      <w:rFonts w:ascii="Calibri" w:hAnsi="Calibri"/>
      <w:b/>
      <w:kern w:val="0"/>
      <w:sz w:val="32"/>
      <w:szCs w:val="20"/>
    </w:rPr>
  </w:style>
  <w:style w:type="paragraph" w:styleId="3">
    <w:name w:val="heading 4"/>
    <w:basedOn w:val="1"/>
    <w:next w:val="1"/>
    <w:link w:val="2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qFormat/>
    <w:uiPriority w:val="0"/>
    <w:pPr>
      <w:jc w:val="left"/>
    </w:pPr>
    <w:rPr>
      <w:szCs w:val="24"/>
    </w:rPr>
  </w:style>
  <w:style w:type="paragraph" w:styleId="5">
    <w:name w:val="Body Text Indent"/>
    <w:basedOn w:val="1"/>
    <w:link w:val="16"/>
    <w:qFormat/>
    <w:uiPriority w:val="0"/>
    <w:pPr>
      <w:tabs>
        <w:tab w:val="left" w:pos="0"/>
        <w:tab w:val="left" w:pos="993"/>
        <w:tab w:val="left" w:pos="1134"/>
      </w:tabs>
      <w:spacing w:line="500" w:lineRule="exact"/>
      <w:ind w:firstLine="567"/>
    </w:pPr>
    <w:rPr>
      <w:rFonts w:ascii="宋体" w:hAnsi="Calibri"/>
      <w:sz w:val="28"/>
    </w:rPr>
  </w:style>
  <w:style w:type="paragraph" w:styleId="6">
    <w:name w:val="Plain Text"/>
    <w:basedOn w:val="1"/>
    <w:link w:val="17"/>
    <w:uiPriority w:val="0"/>
    <w:rPr>
      <w:rFonts w:ascii="宋体" w:hAnsi="Courier New" w:cs="Courier New"/>
      <w:szCs w:val="21"/>
    </w:rPr>
  </w:style>
  <w:style w:type="paragraph" w:styleId="7">
    <w:name w:val="Date"/>
    <w:basedOn w:val="1"/>
    <w:next w:val="1"/>
    <w:link w:val="18"/>
    <w:qFormat/>
    <w:uiPriority w:val="0"/>
    <w:rPr>
      <w:rFonts w:ascii="Calibri" w:hAnsi="Calibri" w:eastAsia="仿宋_GB2312"/>
      <w:sz w:val="30"/>
    </w:rPr>
  </w:style>
  <w:style w:type="paragraph" w:styleId="8">
    <w:name w:val="Balloon Text"/>
    <w:basedOn w:val="1"/>
    <w:semiHidden/>
    <w:uiPriority w:val="0"/>
    <w:rPr>
      <w:sz w:val="18"/>
      <w:szCs w:val="18"/>
    </w:rPr>
  </w:style>
  <w:style w:type="paragraph" w:styleId="9">
    <w:name w:val="footer"/>
    <w:basedOn w:val="1"/>
    <w:link w:val="19"/>
    <w:uiPriority w:val="99"/>
    <w:pPr>
      <w:tabs>
        <w:tab w:val="center" w:pos="4153"/>
        <w:tab w:val="right" w:pos="8306"/>
      </w:tabs>
      <w:snapToGrid w:val="0"/>
      <w:jc w:val="left"/>
    </w:pPr>
    <w:rPr>
      <w:rFonts w:ascii="Calibri" w:hAnsi="Calibri"/>
      <w:sz w:val="18"/>
      <w:szCs w:val="18"/>
    </w:rPr>
  </w:style>
  <w:style w:type="paragraph" w:styleId="10">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0"/>
    <w:qFormat/>
    <w:uiPriority w:val="0"/>
    <w:pPr>
      <w:spacing w:after="120"/>
      <w:ind w:left="420" w:leftChars="200"/>
    </w:pPr>
    <w:rPr>
      <w:rFonts w:ascii="Calibri" w:hAnsi="Calibri"/>
      <w:sz w:val="16"/>
      <w:szCs w:val="16"/>
    </w:rPr>
  </w:style>
  <w:style w:type="paragraph" w:styleId="12">
    <w:name w:val="Title"/>
    <w:basedOn w:val="1"/>
    <w:link w:val="2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5">
    <w:name w:val="标题 3 Char"/>
    <w:link w:val="2"/>
    <w:uiPriority w:val="0"/>
    <w:rPr>
      <w:rFonts w:ascii="Calibri" w:hAnsi="Calibri" w:eastAsia="宋体"/>
      <w:b/>
      <w:sz w:val="32"/>
      <w:lang w:bidi="ar-SA"/>
    </w:rPr>
  </w:style>
  <w:style w:type="character" w:customStyle="1" w:styleId="16">
    <w:name w:val="正文文本缩进 Char"/>
    <w:link w:val="5"/>
    <w:qFormat/>
    <w:uiPriority w:val="0"/>
    <w:rPr>
      <w:rFonts w:ascii="宋体" w:hAnsi="Calibri"/>
      <w:kern w:val="2"/>
      <w:sz w:val="28"/>
      <w:szCs w:val="22"/>
    </w:rPr>
  </w:style>
  <w:style w:type="character" w:customStyle="1" w:styleId="17">
    <w:name w:val="纯文本 Char"/>
    <w:link w:val="6"/>
    <w:uiPriority w:val="0"/>
    <w:rPr>
      <w:rFonts w:ascii="宋体" w:hAnsi="Courier New" w:eastAsia="宋体" w:cs="Courier New"/>
      <w:kern w:val="2"/>
      <w:sz w:val="21"/>
      <w:szCs w:val="21"/>
      <w:lang w:val="en-US" w:eastAsia="zh-CN" w:bidi="ar-SA"/>
    </w:rPr>
  </w:style>
  <w:style w:type="character" w:customStyle="1" w:styleId="18">
    <w:name w:val="日期 Char"/>
    <w:link w:val="7"/>
    <w:uiPriority w:val="0"/>
    <w:rPr>
      <w:rFonts w:ascii="Calibri" w:hAnsi="Calibri" w:eastAsia="仿宋_GB2312"/>
      <w:kern w:val="2"/>
      <w:sz w:val="30"/>
      <w:szCs w:val="22"/>
    </w:rPr>
  </w:style>
  <w:style w:type="character" w:customStyle="1" w:styleId="19">
    <w:name w:val="页脚 Char"/>
    <w:link w:val="9"/>
    <w:uiPriority w:val="99"/>
    <w:rPr>
      <w:rFonts w:ascii="Calibri" w:hAnsi="Calibri"/>
      <w:kern w:val="2"/>
      <w:sz w:val="18"/>
      <w:szCs w:val="18"/>
    </w:rPr>
  </w:style>
  <w:style w:type="character" w:customStyle="1" w:styleId="20">
    <w:name w:val="正文文本缩进 3 Char"/>
    <w:link w:val="11"/>
    <w:uiPriority w:val="0"/>
    <w:rPr>
      <w:rFonts w:ascii="Calibri" w:hAnsi="Calibri"/>
      <w:kern w:val="2"/>
      <w:sz w:val="16"/>
      <w:szCs w:val="16"/>
    </w:rPr>
  </w:style>
  <w:style w:type="character" w:customStyle="1" w:styleId="21">
    <w:name w:val="标题 Char"/>
    <w:link w:val="12"/>
    <w:qFormat/>
    <w:uiPriority w:val="0"/>
    <w:rPr>
      <w:rFonts w:ascii="Arial" w:hAnsi="Arial" w:eastAsia="宋体"/>
      <w:b/>
      <w:sz w:val="32"/>
      <w:lang w:bidi="ar-SA"/>
    </w:rPr>
  </w:style>
  <w:style w:type="paragraph" w:customStyle="1" w:styleId="22">
    <w:name w:val="Normal_2"/>
    <w:qFormat/>
    <w:uiPriority w:val="0"/>
    <w:rPr>
      <w:rFonts w:ascii="Times New Roman" w:hAnsi="Times New Roman" w:eastAsia="宋体" w:cs="Times New Roman"/>
      <w:sz w:val="24"/>
      <w:szCs w:val="24"/>
      <w:lang w:val="en-US" w:eastAsia="zh-CN" w:bidi="ar-SA"/>
    </w:rPr>
  </w:style>
  <w:style w:type="paragraph" w:customStyle="1" w:styleId="23">
    <w:name w:val="Normal_1"/>
    <w:qFormat/>
    <w:uiPriority w:val="0"/>
    <w:rPr>
      <w:rFonts w:ascii="Times New Roman" w:hAnsi="Times New Roman" w:eastAsia="宋体" w:cs="Times New Roman"/>
      <w:sz w:val="24"/>
      <w:szCs w:val="24"/>
      <w:lang w:val="en-US" w:eastAsia="zh-CN" w:bidi="ar-SA"/>
    </w:rPr>
  </w:style>
  <w:style w:type="paragraph" w:customStyle="1" w:styleId="24">
    <w:name w:val="Normal_0"/>
    <w:qFormat/>
    <w:uiPriority w:val="0"/>
    <w:rPr>
      <w:rFonts w:ascii="Times New Roman" w:hAnsi="Times New Roman" w:eastAsia="宋体" w:cs="Times New Roman"/>
      <w:sz w:val="24"/>
      <w:szCs w:val="24"/>
      <w:lang w:val="en-US" w:eastAsia="zh-CN" w:bidi="ar-SA"/>
    </w:rPr>
  </w:style>
  <w:style w:type="paragraph" w:customStyle="1" w:styleId="25">
    <w:name w:val="Blockquote"/>
    <w:basedOn w:val="1"/>
    <w:uiPriority w:val="0"/>
    <w:pPr>
      <w:autoSpaceDE w:val="0"/>
      <w:autoSpaceDN w:val="0"/>
      <w:adjustRightInd w:val="0"/>
      <w:spacing w:before="100" w:after="100"/>
      <w:ind w:left="360" w:right="360"/>
      <w:jc w:val="left"/>
    </w:pPr>
    <w:rPr>
      <w:kern w:val="0"/>
      <w:sz w:val="24"/>
      <w:szCs w:val="20"/>
    </w:rPr>
  </w:style>
  <w:style w:type="character" w:customStyle="1" w:styleId="26">
    <w:name w:val="标题 4 Char"/>
    <w:basedOn w:val="14"/>
    <w:link w:val="3"/>
    <w:semiHidden/>
    <w:uiPriority w:val="0"/>
    <w:rPr>
      <w:rFonts w:asciiTheme="majorHAnsi" w:hAnsiTheme="majorHAnsi" w:eastAsiaTheme="majorEastAsia" w:cstheme="majorBidi"/>
      <w:b/>
      <w:bCs/>
      <w:kern w:val="2"/>
      <w:sz w:val="28"/>
      <w:szCs w:val="28"/>
    </w:rPr>
  </w:style>
  <w:style w:type="paragraph" w:customStyle="1" w:styleId="27">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批注文字 Char"/>
    <w:basedOn w:val="14"/>
    <w:link w:val="4"/>
    <w:uiPriority w:val="0"/>
    <w:rPr>
      <w:kern w:val="2"/>
      <w:sz w:val="21"/>
      <w:szCs w:val="24"/>
    </w:rPr>
  </w:style>
  <w:style w:type="character" w:customStyle="1" w:styleId="29">
    <w:name w:val="页眉 Char"/>
    <w:basedOn w:val="14"/>
    <w:link w:val="10"/>
    <w:uiPriority w:val="99"/>
    <w:rPr>
      <w:kern w:val="2"/>
      <w:sz w:val="18"/>
      <w:szCs w:val="18"/>
    </w:rPr>
  </w:style>
  <w:style w:type="paragraph" w:styleId="30">
    <w:name w:val="List Paragraph"/>
    <w:basedOn w:val="1"/>
    <w:qFormat/>
    <w:uiPriority w:val="34"/>
    <w:pPr>
      <w:ind w:firstLine="420" w:firstLineChars="200"/>
    </w:pPr>
    <w:rPr>
      <w:rFonts w:asciiTheme="minorHAnsi" w:hAnsiTheme="minorHAnsi" w:eastAsiaTheme="minorEastAsia" w:cstheme="minorBidi"/>
    </w:rPr>
  </w:style>
  <w:style w:type="paragraph" w:customStyle="1" w:styleId="31">
    <w:name w:val="表格内容"/>
    <w:basedOn w:val="1"/>
    <w:qFormat/>
    <w:uiPriority w:val="0"/>
    <w:pPr>
      <w:suppressLineNumbers/>
      <w:suppressAutoHyphens/>
    </w:pPr>
    <w:rPr>
      <w:kern w:val="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11458</Words>
  <Characters>12011</Characters>
  <Lines>112</Lines>
  <Paragraphs>31</Paragraphs>
  <TotalTime>20</TotalTime>
  <ScaleCrop>false</ScaleCrop>
  <LinksUpToDate>false</LinksUpToDate>
  <CharactersWithSpaces>12896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2023-01-06T03:21:00Z</dcterms:created>
  <dc:creator>微软用户</dc:creator>
  <cp:lastModifiedBy>于剑</cp:lastModifiedBy>
  <cp:lastPrinted>2022-08-22T06:54:00Z</cp:lastPrinted>
  <dcterms:modified xsi:type="dcterms:W3CDTF">2023-01-09T08:31:12Z</dcterms:modified>
  <dc:title>扬州市工程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F71EDF209B2D4849834CB5537B904FAE</vt:lpwstr>
  </property>
</Properties>
</file>