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5A157">
      <w:pPr>
        <w:jc w:val="center"/>
        <w:rPr>
          <w:rFonts w:hint="eastAsia"/>
        </w:rPr>
      </w:pPr>
      <w:r>
        <w:rPr>
          <w:rFonts w:hint="eastAsia" w:ascii="仿宋_GB2312" w:hAnsi="宋体" w:eastAsia="仿宋_GB2312"/>
          <w:b/>
          <w:spacing w:val="28"/>
          <w:sz w:val="52"/>
          <w:szCs w:val="48"/>
          <w:lang w:eastAsia="zh-CN"/>
        </w:rPr>
        <w:t>扬州市上善建设工程有限公司</w:t>
      </w:r>
    </w:p>
    <w:p w14:paraId="75786FE1">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原威亨电厂出线供热管道迁改工程</w:t>
      </w:r>
    </w:p>
    <w:p w14:paraId="426F053D">
      <w:pPr>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spacing w:val="28"/>
          <w:sz w:val="52"/>
          <w:szCs w:val="48"/>
          <w:lang w:val="en-US" w:eastAsia="zh-CN"/>
        </w:rPr>
        <w:t>砂石材料采购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73502474">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2025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9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12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76EAEDFC">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1A0046F9">
      <w:pPr>
        <w:pStyle w:val="19"/>
        <w:rPr>
          <w:rFonts w:hint="eastAsia" w:ascii="宋体" w:hAnsi="宋体"/>
          <w:b/>
          <w:color w:val="000000" w:themeColor="text1"/>
          <w:sz w:val="36"/>
          <w:szCs w:val="36"/>
          <w14:textFill>
            <w14:solidFill>
              <w14:schemeClr w14:val="tx1"/>
            </w14:solidFill>
          </w14:textFill>
        </w:rPr>
      </w:pPr>
    </w:p>
    <w:p w14:paraId="687F541F">
      <w:pPr>
        <w:rPr>
          <w:rFonts w:hint="eastAsia"/>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79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094"/>
        <w:gridCol w:w="1982"/>
        <w:gridCol w:w="1098"/>
        <w:gridCol w:w="3110"/>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515"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094"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4E97E607">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原威亨电厂出线供热管道迁改工程砂石材料采购</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094"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15"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094"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094"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094"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094"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5"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094"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094"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15"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094"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5"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094"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A06E69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15"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094"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15"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094"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15"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094"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12</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5"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094"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90"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15"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094"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8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098"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10"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15"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094"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515"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094"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eastAsia="zh-CN"/>
                <w14:textFill>
                  <w14:solidFill>
                    <w14:schemeClr w14:val="tx1"/>
                  </w14:solidFill>
                </w14:textFill>
              </w:rPr>
              <w:t>扬州城建园林景观有限公司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15"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094"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 xml:space="preserve">18052597958 </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原威亨电厂出线供热管道迁改工程需采购一批砂石材料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bCs/>
          <w:color w:val="000000" w:themeColor="text1"/>
          <w:szCs w:val="21"/>
          <w:lang w:val="en-US" w:eastAsia="zh-CN"/>
          <w14:textFill>
            <w14:solidFill>
              <w14:schemeClr w14:val="tx1"/>
            </w14:solidFill>
          </w14:textFill>
        </w:rPr>
        <w:t>原威亨电厂出线供热管道迁改工程砂石材料采购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35"/>
        <w:gridCol w:w="1003"/>
        <w:gridCol w:w="934"/>
        <w:gridCol w:w="964"/>
        <w:gridCol w:w="1299"/>
        <w:gridCol w:w="1492"/>
        <w:gridCol w:w="874"/>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blHeader/>
          <w:jc w:val="center"/>
        </w:trPr>
        <w:tc>
          <w:tcPr>
            <w:tcW w:w="715" w:type="dxa"/>
            <w:shd w:val="clear" w:color="auto" w:fill="auto"/>
            <w:vAlign w:val="center"/>
          </w:tcPr>
          <w:p w14:paraId="51E9DF18">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335" w:type="dxa"/>
            <w:shd w:val="clear" w:color="auto" w:fill="auto"/>
            <w:vAlign w:val="center"/>
          </w:tcPr>
          <w:p w14:paraId="69BE5FDA">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003" w:type="dxa"/>
            <w:shd w:val="clear" w:color="auto" w:fill="auto"/>
            <w:vAlign w:val="center"/>
          </w:tcPr>
          <w:p w14:paraId="7063CC3A">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规格</w:t>
            </w:r>
          </w:p>
        </w:tc>
        <w:tc>
          <w:tcPr>
            <w:tcW w:w="934" w:type="dxa"/>
            <w:shd w:val="clear" w:color="auto" w:fill="auto"/>
            <w:vAlign w:val="center"/>
          </w:tcPr>
          <w:p w14:paraId="3BAD5D81">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单位</w:t>
            </w:r>
          </w:p>
        </w:tc>
        <w:tc>
          <w:tcPr>
            <w:tcW w:w="964" w:type="dxa"/>
            <w:shd w:val="clear" w:color="auto" w:fill="auto"/>
            <w:vAlign w:val="center"/>
          </w:tcPr>
          <w:p w14:paraId="2F6FC91A">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1299" w:type="dxa"/>
            <w:shd w:val="clear" w:color="auto" w:fill="auto"/>
            <w:vAlign w:val="center"/>
          </w:tcPr>
          <w:p w14:paraId="0FCEADCB">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最高限价</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含</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税）</w:t>
            </w:r>
          </w:p>
        </w:tc>
        <w:tc>
          <w:tcPr>
            <w:tcW w:w="1492" w:type="dxa"/>
            <w:shd w:val="clear" w:color="auto" w:fill="auto"/>
            <w:vAlign w:val="center"/>
          </w:tcPr>
          <w:p w14:paraId="204CA9B3">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总价</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w:t>
            </w:r>
          </w:p>
        </w:tc>
        <w:tc>
          <w:tcPr>
            <w:tcW w:w="874" w:type="dxa"/>
            <w:shd w:val="clear" w:color="auto" w:fill="auto"/>
            <w:vAlign w:val="center"/>
          </w:tcPr>
          <w:p w14:paraId="6B2ADE2A">
            <w:pPr>
              <w:pStyle w:val="6"/>
              <w:ind w:left="0" w:leftChars="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5" w:type="dxa"/>
            <w:vAlign w:val="center"/>
          </w:tcPr>
          <w:p w14:paraId="230599CE">
            <w:pPr>
              <w:keepNext w:val="0"/>
              <w:keepLines w:val="0"/>
              <w:widowControl/>
              <w:suppressLineNumbers w:val="0"/>
              <w:jc w:val="center"/>
              <w:textAlignment w:val="bottom"/>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335" w:type="dxa"/>
            <w:vAlign w:val="center"/>
          </w:tcPr>
          <w:p w14:paraId="5A8BAFEA">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中(粗)砂</w:t>
            </w:r>
          </w:p>
        </w:tc>
        <w:tc>
          <w:tcPr>
            <w:tcW w:w="1003" w:type="dxa"/>
            <w:vAlign w:val="center"/>
          </w:tcPr>
          <w:p w14:paraId="495645EC">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p>
        </w:tc>
        <w:tc>
          <w:tcPr>
            <w:tcW w:w="934" w:type="dxa"/>
            <w:vAlign w:val="center"/>
          </w:tcPr>
          <w:p w14:paraId="0DFB494D">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w:t>
            </w:r>
          </w:p>
        </w:tc>
        <w:tc>
          <w:tcPr>
            <w:tcW w:w="964" w:type="dxa"/>
            <w:vAlign w:val="center"/>
          </w:tcPr>
          <w:p w14:paraId="0A2C1327">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361</w:t>
            </w:r>
            <w:r>
              <w:rPr>
                <w:rFonts w:hint="eastAsia" w:cs="Times New Roman"/>
                <w:i w:val="0"/>
                <w:iCs w:val="0"/>
                <w:color w:val="000000"/>
                <w:kern w:val="0"/>
                <w:sz w:val="21"/>
                <w:szCs w:val="21"/>
                <w:u w:val="none"/>
                <w:lang w:val="en-US" w:eastAsia="zh-CN" w:bidi="ar"/>
              </w:rPr>
              <w:t>1</w:t>
            </w:r>
          </w:p>
        </w:tc>
        <w:tc>
          <w:tcPr>
            <w:tcW w:w="1299" w:type="dxa"/>
            <w:shd w:val="clear" w:color="auto" w:fill="auto"/>
            <w:vAlign w:val="center"/>
          </w:tcPr>
          <w:p w14:paraId="1835FCB8">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492" w:type="dxa"/>
            <w:vAlign w:val="center"/>
          </w:tcPr>
          <w:p w14:paraId="03E8CFD5">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5055</w:t>
            </w:r>
            <w:r>
              <w:rPr>
                <w:rFonts w:hint="eastAsia" w:cs="Times New Roman"/>
                <w:i w:val="0"/>
                <w:iCs w:val="0"/>
                <w:color w:val="000000"/>
                <w:kern w:val="0"/>
                <w:sz w:val="22"/>
                <w:szCs w:val="22"/>
                <w:u w:val="none"/>
                <w:lang w:val="en-US" w:eastAsia="zh-CN" w:bidi="ar"/>
              </w:rPr>
              <w:t>40</w:t>
            </w:r>
          </w:p>
        </w:tc>
        <w:tc>
          <w:tcPr>
            <w:tcW w:w="874" w:type="dxa"/>
            <w:vAlign w:val="center"/>
          </w:tcPr>
          <w:p w14:paraId="70D475DE">
            <w:pPr>
              <w:jc w:val="center"/>
              <w:rPr>
                <w:rFonts w:hint="eastAsia" w:ascii="宋体" w:hAnsi="宋体" w:eastAsia="宋体" w:cs="宋体"/>
                <w:vertAlign w:val="baseline"/>
                <w:lang w:val="en-US" w:eastAsia="zh-CN"/>
              </w:rPr>
            </w:pPr>
          </w:p>
        </w:tc>
      </w:tr>
      <w:tr w14:paraId="219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5" w:type="dxa"/>
            <w:vAlign w:val="center"/>
          </w:tcPr>
          <w:p w14:paraId="06BEA9CE">
            <w:pPr>
              <w:keepNext w:val="0"/>
              <w:keepLines w:val="0"/>
              <w:widowControl/>
              <w:suppressLineNumbers w:val="0"/>
              <w:jc w:val="center"/>
              <w:textAlignment w:val="bottom"/>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335" w:type="dxa"/>
            <w:vAlign w:val="center"/>
          </w:tcPr>
          <w:p w14:paraId="2876494A">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碎石</w:t>
            </w:r>
          </w:p>
        </w:tc>
        <w:tc>
          <w:tcPr>
            <w:tcW w:w="1003" w:type="dxa"/>
            <w:vAlign w:val="center"/>
          </w:tcPr>
          <w:p w14:paraId="4A7C89B5">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40</w:t>
            </w:r>
          </w:p>
        </w:tc>
        <w:tc>
          <w:tcPr>
            <w:tcW w:w="934" w:type="dxa"/>
            <w:vAlign w:val="center"/>
          </w:tcPr>
          <w:p w14:paraId="6615ED15">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t</w:t>
            </w:r>
          </w:p>
        </w:tc>
        <w:tc>
          <w:tcPr>
            <w:tcW w:w="964" w:type="dxa"/>
            <w:vAlign w:val="center"/>
          </w:tcPr>
          <w:p w14:paraId="674D8D23">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w:t>
            </w:r>
            <w:r>
              <w:rPr>
                <w:rFonts w:hint="eastAsia" w:cs="Times New Roman"/>
                <w:i w:val="0"/>
                <w:iCs w:val="0"/>
                <w:color w:val="000000"/>
                <w:kern w:val="0"/>
                <w:sz w:val="21"/>
                <w:szCs w:val="21"/>
                <w:u w:val="none"/>
                <w:lang w:val="en-US" w:eastAsia="zh-CN" w:bidi="ar"/>
              </w:rPr>
              <w:t>2</w:t>
            </w:r>
          </w:p>
        </w:tc>
        <w:tc>
          <w:tcPr>
            <w:tcW w:w="1299" w:type="dxa"/>
            <w:shd w:val="clear" w:color="auto" w:fill="auto"/>
            <w:vAlign w:val="center"/>
          </w:tcPr>
          <w:p w14:paraId="25D0A9B6">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cs="Times New Roman"/>
                <w:i w:val="0"/>
                <w:iCs w:val="0"/>
                <w:color w:val="000000"/>
                <w:kern w:val="0"/>
                <w:sz w:val="22"/>
                <w:szCs w:val="22"/>
                <w:u w:val="none"/>
                <w:lang w:val="en-US" w:eastAsia="zh-CN" w:bidi="ar"/>
              </w:rPr>
              <w:t>5</w:t>
            </w:r>
          </w:p>
        </w:tc>
        <w:tc>
          <w:tcPr>
            <w:tcW w:w="1492" w:type="dxa"/>
            <w:vAlign w:val="center"/>
          </w:tcPr>
          <w:p w14:paraId="685A8F54">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74760</w:t>
            </w:r>
          </w:p>
        </w:tc>
        <w:tc>
          <w:tcPr>
            <w:tcW w:w="874" w:type="dxa"/>
            <w:vAlign w:val="center"/>
          </w:tcPr>
          <w:p w14:paraId="7A3E82F4">
            <w:pPr>
              <w:jc w:val="center"/>
              <w:rPr>
                <w:rFonts w:hint="eastAsia" w:ascii="宋体" w:hAnsi="宋体" w:eastAsia="宋体" w:cs="宋体"/>
                <w:vertAlign w:val="baseline"/>
                <w:lang w:val="en-US" w:eastAsia="zh-CN"/>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0" w:type="dxa"/>
            <w:gridSpan w:val="6"/>
            <w:vAlign w:val="center"/>
          </w:tcPr>
          <w:p w14:paraId="356853AA">
            <w:pPr>
              <w:keepNext w:val="0"/>
              <w:keepLines w:val="0"/>
              <w:widowControl/>
              <w:suppressLineNumbers w:val="0"/>
              <w:jc w:val="center"/>
              <w:textAlignment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合计(元）</w:t>
            </w:r>
          </w:p>
        </w:tc>
        <w:tc>
          <w:tcPr>
            <w:tcW w:w="1492" w:type="dxa"/>
            <w:shd w:val="clear" w:color="auto" w:fill="auto"/>
            <w:vAlign w:val="center"/>
          </w:tcPr>
          <w:p w14:paraId="75205A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cs="Times New Roman"/>
                <w:i w:val="0"/>
                <w:iCs w:val="0"/>
                <w:color w:val="000000"/>
                <w:kern w:val="0"/>
                <w:sz w:val="22"/>
                <w:szCs w:val="22"/>
                <w:u w:val="none"/>
                <w:lang w:val="en-US" w:eastAsia="zh-CN" w:bidi="ar"/>
              </w:rPr>
              <w:t>580300</w:t>
            </w:r>
          </w:p>
        </w:tc>
        <w:tc>
          <w:tcPr>
            <w:tcW w:w="874" w:type="dxa"/>
            <w:vAlign w:val="center"/>
          </w:tcPr>
          <w:p w14:paraId="629E1A63">
            <w:pPr>
              <w:jc w:val="center"/>
              <w:rPr>
                <w:rFonts w:hint="eastAsia" w:ascii="宋体" w:hAnsi="宋体" w:eastAsia="宋体" w:cs="宋体"/>
                <w:vertAlign w:val="baseline"/>
                <w:lang w:val="en-US" w:eastAsia="zh-CN"/>
              </w:rPr>
            </w:pPr>
          </w:p>
        </w:tc>
      </w:tr>
    </w:tbl>
    <w:p w14:paraId="2C479DE3">
      <w:pPr>
        <w:numPr>
          <w:ilvl w:val="0"/>
          <w:numId w:val="0"/>
        </w:numPr>
        <w:autoSpaceDE w:val="0"/>
        <w:autoSpaceDN w:val="0"/>
        <w:adjustRightInd w:val="0"/>
        <w:snapToGrid w:val="0"/>
        <w:spacing w:line="48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3、结算方式：中标材料单价（含3%税）*对应材料数量=结算总价（含3%税）</w:t>
      </w:r>
    </w:p>
    <w:p w14:paraId="6D8B942A">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三、投标须知：</w:t>
      </w:r>
    </w:p>
    <w:p w14:paraId="63DA78E4">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1、投标文件正本一份</w:t>
      </w:r>
      <w:r>
        <w:rPr>
          <w:rFonts w:hint="eastAsia" w:ascii="宋体" w:hAnsi="宋体"/>
          <w:color w:val="auto"/>
          <w:szCs w:val="21"/>
          <w:lang w:eastAsia="zh-CN"/>
        </w:rPr>
        <w:t>，</w:t>
      </w:r>
      <w:r>
        <w:rPr>
          <w:rFonts w:hint="eastAsia" w:ascii="宋体" w:hAnsi="宋体"/>
          <w:color w:val="auto"/>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lang w:val="en-US" w:eastAsia="zh-CN"/>
        </w:rPr>
        <w:t>投标价 格为材料送达招标方指定</w:t>
      </w:r>
      <w:bookmarkStart w:id="2" w:name="_GoBack"/>
      <w:bookmarkEnd w:id="2"/>
      <w:r>
        <w:rPr>
          <w:rFonts w:hint="eastAsia" w:ascii="宋体" w:hAnsi="宋体"/>
          <w:color w:val="auto"/>
          <w:szCs w:val="21"/>
          <w:lang w:val="en-US" w:eastAsia="zh-CN"/>
        </w:rPr>
        <w:t>地点的价格，报价含运费、卸货费用，须提供投标书及报价清单</w:t>
      </w:r>
      <w:r>
        <w:rPr>
          <w:rFonts w:hint="eastAsia" w:ascii="宋体" w:hAnsi="宋体"/>
          <w:color w:val="auto"/>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55A40178">
      <w:pPr>
        <w:pStyle w:val="20"/>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6、投标单位须提供1份近3年</w:t>
      </w:r>
      <w:r>
        <w:rPr>
          <w:rFonts w:hint="eastAsia" w:ascii="宋体" w:hAnsi="宋体" w:cs="Times New Roman"/>
          <w:b w:val="0"/>
          <w:kern w:val="2"/>
          <w:sz w:val="21"/>
          <w:szCs w:val="21"/>
          <w:lang w:val="en-US" w:eastAsia="zh-CN" w:bidi="ar-SA"/>
        </w:rPr>
        <w:t>砂石</w:t>
      </w:r>
      <w:r>
        <w:rPr>
          <w:rFonts w:hint="eastAsia" w:ascii="宋体" w:hAnsi="宋体" w:eastAsia="宋体" w:cs="Times New Roman"/>
          <w:b w:val="0"/>
          <w:kern w:val="2"/>
          <w:sz w:val="21"/>
          <w:szCs w:val="21"/>
          <w:lang w:val="en-US" w:eastAsia="zh-CN" w:bidi="ar-SA"/>
        </w:rPr>
        <w:t>材料供货业绩（合同金额</w:t>
      </w:r>
      <w:r>
        <w:rPr>
          <w:rFonts w:hint="eastAsia" w:ascii="宋体" w:hAnsi="宋体" w:cs="Times New Roman"/>
          <w:b w:val="0"/>
          <w:kern w:val="2"/>
          <w:sz w:val="21"/>
          <w:szCs w:val="21"/>
          <w:lang w:val="en-US" w:eastAsia="zh-CN" w:bidi="ar-SA"/>
        </w:rPr>
        <w:t>40</w:t>
      </w:r>
      <w:r>
        <w:rPr>
          <w:rFonts w:hint="eastAsia" w:ascii="宋体" w:hAnsi="宋体" w:eastAsia="宋体" w:cs="Times New Roman"/>
          <w:b w:val="0"/>
          <w:kern w:val="2"/>
          <w:sz w:val="21"/>
          <w:szCs w:val="21"/>
          <w:lang w:val="en-US" w:eastAsia="zh-CN" w:bidi="ar-SA"/>
        </w:rPr>
        <w:t>万元及以上），</w:t>
      </w:r>
      <w:r>
        <w:rPr>
          <w:rFonts w:hint="eastAsia" w:ascii="宋体" w:hAnsi="宋体" w:eastAsia="宋体" w:cs="Times New Roman"/>
          <w:b w:val="0"/>
          <w:kern w:val="2"/>
          <w:sz w:val="21"/>
          <w:szCs w:val="21"/>
          <w:lang w:val="en-US" w:eastAsia="zh-CN" w:bidi="ar-SA"/>
        </w:rPr>
        <w:t>提供合同复印件加盖公章。</w:t>
      </w:r>
    </w:p>
    <w:p w14:paraId="4EF70C0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 xml:space="preserve"> 固定单价</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auto"/>
          <w:sz w:val="21"/>
          <w:szCs w:val="21"/>
          <w:shd w:val="clear" w:color="auto" w:fill="FFFFFF"/>
        </w:rPr>
        <w:t>本次招标确定一家供应商为中标单位。</w:t>
      </w:r>
    </w:p>
    <w:p w14:paraId="2CC5E8AF">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000000"/>
          <w:szCs w:val="21"/>
        </w:rPr>
        <w:t>①</w:t>
      </w:r>
      <w:r>
        <w:rPr>
          <w:rFonts w:hint="eastAsia" w:ascii="宋体" w:hAnsi="宋体"/>
          <w:color w:val="auto"/>
          <w:szCs w:val="21"/>
        </w:rPr>
        <w:t>产品名称、数量（按实际结算）、单价（含运费）、供货时间。</w:t>
      </w:r>
    </w:p>
    <w:p w14:paraId="7C1AD7E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27C9611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w:t>
      </w:r>
      <w:r>
        <w:rPr>
          <w:rFonts w:hint="eastAsia" w:ascii="宋体" w:hAnsi="宋体"/>
          <w:color w:val="auto"/>
          <w:szCs w:val="21"/>
          <w:lang w:eastAsia="zh-CN"/>
        </w:rPr>
        <w:t>扬州市上善建设工程有限公司</w:t>
      </w:r>
      <w:r>
        <w:rPr>
          <w:rFonts w:hint="eastAsia" w:ascii="宋体" w:hAnsi="宋体"/>
          <w:color w:val="auto"/>
          <w:szCs w:val="21"/>
        </w:rPr>
        <w:t>指定地点）。</w:t>
      </w:r>
    </w:p>
    <w:p w14:paraId="539EA68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auto"/>
          <w:szCs w:val="21"/>
        </w:rPr>
      </w:pPr>
      <w:r>
        <w:rPr>
          <w:rFonts w:hint="eastAsia" w:ascii="宋体" w:hAnsi="宋体"/>
          <w:color w:val="auto"/>
          <w:szCs w:val="21"/>
        </w:rPr>
        <w:t>⑥验收标准和提出异议期限：由招标方验收员按照国家标准抽样验收。若达不到标准要求，所发生的一切后果及费用由投标方承担。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eastAsia" w:ascii="宋体" w:hAnsi="宋体" w:eastAsia="宋体"/>
          <w:color w:val="FF0000"/>
          <w:szCs w:val="21"/>
          <w:lang w:val="en-US" w:eastAsia="zh-CN"/>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w:t>
      </w:r>
      <w:r>
        <w:rPr>
          <w:rFonts w:hint="eastAsia" w:ascii="宋体" w:hAnsi="宋体"/>
          <w:color w:val="auto"/>
          <w:szCs w:val="21"/>
          <w:u w:val="single"/>
          <w:lang w:val="en-US" w:eastAsia="zh-CN"/>
        </w:rPr>
        <w:t>工程竣工验收合格且工程审计</w:t>
      </w:r>
      <w:r>
        <w:rPr>
          <w:rFonts w:hint="eastAsia" w:ascii="宋体" w:hAnsi="宋体"/>
          <w:color w:val="000000"/>
          <w:szCs w:val="21"/>
          <w:u w:val="single"/>
          <w:lang w:val="en-US" w:eastAsia="zh-CN"/>
        </w:rPr>
        <w:t>结束后付至实际供货量90%，二年质保期满后，付清尾款（无息）</w:t>
      </w:r>
      <w:r>
        <w:rPr>
          <w:rFonts w:hint="eastAsia" w:ascii="宋体" w:hAnsi="宋体"/>
          <w:color w:val="000000"/>
          <w:szCs w:val="21"/>
          <w:u w:val="single"/>
        </w:rPr>
        <w:t>。</w:t>
      </w:r>
      <w:r>
        <w:rPr>
          <w:rFonts w:hint="eastAsia" w:ascii="宋体" w:hAnsi="宋体"/>
          <w:color w:val="000000"/>
          <w:szCs w:val="21"/>
          <w:u w:val="single"/>
          <w:lang w:val="en-US" w:eastAsia="zh-CN"/>
        </w:rPr>
        <w:t>以上材料款支付，需满足建设单位工程款已支付且按同比例支付材料款。</w:t>
      </w:r>
    </w:p>
    <w:p w14:paraId="27296A0A">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s="Times New Roman"/>
          <w:color w:val="auto"/>
          <w:szCs w:val="21"/>
          <w:lang w:val="en-US" w:eastAsia="zh-CN"/>
        </w:rPr>
        <w:t>⑧</w:t>
      </w:r>
      <w:r>
        <w:rPr>
          <w:rFonts w:hint="eastAsia" w:ascii="宋体" w:hAnsi="宋体"/>
          <w:color w:val="000000"/>
          <w:szCs w:val="21"/>
        </w:rPr>
        <w:t>违约责任。</w:t>
      </w:r>
    </w:p>
    <w:p w14:paraId="5FAFF4B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6F91ECB6">
      <w:pPr>
        <w:numPr>
          <w:ilvl w:val="0"/>
          <w:numId w:val="3"/>
        </w:numPr>
        <w:autoSpaceDE w:val="0"/>
        <w:autoSpaceDN w:val="0"/>
        <w:adjustRightInd w:val="0"/>
        <w:snapToGrid w:val="0"/>
        <w:spacing w:line="480" w:lineRule="exact"/>
        <w:ind w:firstLine="665" w:firstLineChars="317"/>
        <w:rPr>
          <w:rFonts w:hint="eastAsia" w:ascii="宋体" w:hAnsi="宋体"/>
          <w:color w:val="000000"/>
          <w:szCs w:val="21"/>
        </w:rPr>
      </w:pPr>
      <w:r>
        <w:rPr>
          <w:rFonts w:hint="eastAsia" w:ascii="宋体" w:hAnsi="宋体"/>
          <w:color w:val="000000"/>
          <w:szCs w:val="21"/>
        </w:rPr>
        <w:t>提交仲裁委员会。（二）起诉至当地法院裁决。</w:t>
      </w:r>
      <w:r>
        <w:rPr>
          <w:rFonts w:hint="eastAsia" w:ascii="宋体" w:hAnsi="宋体"/>
          <w:color w:val="000000"/>
          <w:szCs w:val="21"/>
          <w:lang w:val="en-US" w:eastAsia="zh-CN"/>
        </w:rPr>
        <w:t xml:space="preserve"> </w:t>
      </w:r>
    </w:p>
    <w:p w14:paraId="0D8C1D58">
      <w:pPr>
        <w:numPr>
          <w:ilvl w:val="0"/>
          <w:numId w:val="0"/>
        </w:numPr>
        <w:autoSpaceDE w:val="0"/>
        <w:autoSpaceDN w:val="0"/>
        <w:adjustRightInd w:val="0"/>
        <w:snapToGrid w:val="0"/>
        <w:spacing w:line="480" w:lineRule="exact"/>
        <w:ind w:firstLine="630" w:firstLineChars="300"/>
        <w:rPr>
          <w:rFonts w:hint="eastAsia" w:ascii="黑体" w:hAnsi="黑体" w:eastAsia="黑体" w:cs="黑体"/>
          <w:b/>
          <w:sz w:val="72"/>
          <w:szCs w:val="72"/>
          <w:lang w:eastAsia="zh-CN"/>
        </w:rPr>
      </w:pPr>
      <w:r>
        <w:rPr>
          <w:rFonts w:hint="eastAsia" w:ascii="宋体" w:hAnsi="宋体"/>
          <w:color w:val="000000"/>
          <w:szCs w:val="21"/>
        </w:rPr>
        <w:t>⑩其他约定事项。</w:t>
      </w:r>
    </w:p>
    <w:p w14:paraId="6C0E6C66">
      <w:pPr>
        <w:pStyle w:val="19"/>
        <w:rPr>
          <w:rFonts w:hint="eastAsia"/>
          <w:lang w:eastAsia="zh-CN"/>
        </w:rPr>
      </w:pPr>
    </w:p>
    <w:p w14:paraId="2005CC94">
      <w:pPr>
        <w:jc w:val="right"/>
        <w:outlineLvl w:val="0"/>
        <w:rPr>
          <w:rFonts w:hint="eastAsia" w:ascii="黑体" w:hAnsi="黑体" w:eastAsia="黑体" w:cs="黑体"/>
          <w:b/>
          <w:sz w:val="72"/>
          <w:szCs w:val="72"/>
          <w:lang w:eastAsia="zh-CN"/>
        </w:rPr>
      </w:pPr>
    </w:p>
    <w:p w14:paraId="6305FADE">
      <w:pPr>
        <w:pStyle w:val="19"/>
        <w:rPr>
          <w:rFonts w:hint="eastAsia" w:ascii="黑体" w:hAnsi="黑体" w:eastAsia="黑体" w:cs="黑体"/>
          <w:b/>
          <w:sz w:val="72"/>
          <w:szCs w:val="72"/>
          <w:lang w:eastAsia="zh-CN"/>
        </w:rPr>
      </w:pPr>
    </w:p>
    <w:p w14:paraId="5DE1AA6A">
      <w:pPr>
        <w:rPr>
          <w:rFonts w:hint="eastAsia"/>
          <w:lang w:eastAsia="zh-CN"/>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0"/>
        <w:rPr>
          <w:rFonts w:hint="eastAsia"/>
          <w:lang w:eastAsia="zh-CN"/>
        </w:rPr>
      </w:pPr>
    </w:p>
    <w:p w14:paraId="22FFDF3C">
      <w:pPr>
        <w:pStyle w:val="21"/>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0"/>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0"/>
        <w:rPr>
          <w:rFonts w:hint="eastAsia"/>
          <w:lang w:eastAsia="zh-CN"/>
        </w:rPr>
      </w:pPr>
    </w:p>
    <w:p w14:paraId="5EE348C1">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0"/>
        <w:rPr>
          <w:rFonts w:hint="eastAsia"/>
        </w:rPr>
      </w:pPr>
    </w:p>
    <w:p w14:paraId="4C59DDD4">
      <w:pPr>
        <w:pStyle w:val="21"/>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（含</w:t>
            </w:r>
            <w:r>
              <w:rPr>
                <w:rFonts w:hint="eastAsia" w:ascii="宋体" w:hAnsi="宋体"/>
                <w:color w:val="000000"/>
                <w:sz w:val="24"/>
                <w:lang w:val="en-US" w:eastAsia="zh-CN"/>
              </w:rPr>
              <w:t>3%</w:t>
            </w:r>
            <w:r>
              <w:rPr>
                <w:rFonts w:hint="eastAsia" w:ascii="宋体" w:hAnsi="宋体"/>
                <w:color w:val="000000"/>
                <w:sz w:val="24"/>
                <w:lang w:eastAsia="zh-CN"/>
              </w:rPr>
              <w:t>税）</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（含</w:t>
            </w:r>
            <w:r>
              <w:rPr>
                <w:rFonts w:hint="eastAsia" w:ascii="宋体" w:hAnsi="宋体"/>
                <w:color w:val="000000"/>
                <w:sz w:val="24"/>
                <w:lang w:val="en-US" w:eastAsia="zh-CN"/>
              </w:rPr>
              <w:t>3%</w:t>
            </w:r>
            <w:r>
              <w:rPr>
                <w:rFonts w:hint="eastAsia" w:ascii="宋体" w:hAnsi="宋体"/>
                <w:color w:val="000000"/>
                <w:sz w:val="24"/>
                <w:lang w:eastAsia="zh-CN"/>
              </w:rPr>
              <w:t>税）</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eastAsiaTheme="minorEastAsia" w:cstheme="minorEastAsia"/>
          <w:sz w:val="24"/>
          <w:szCs w:val="24"/>
        </w:rPr>
        <w:t>：</w:t>
      </w:r>
    </w:p>
    <w:p w14:paraId="6CCB298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w:t>
      </w: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footerReference r:id="rId3" w:type="default"/>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4" w:type="default"/>
          <w:foot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3"/>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lang w:val="en-US" w:eastAsia="zh-CN"/>
        </w:rPr>
        <w:t>原威亨电厂出线供热管道迁改工程砂石材料采购</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（含</w:t>
            </w:r>
            <w:r>
              <w:rPr>
                <w:rFonts w:hint="eastAsia" w:ascii="方正仿宋_GBK" w:hAnsi="方正仿宋_GBK" w:eastAsia="方正仿宋_GBK" w:cs="方正仿宋_GBK"/>
                <w:bCs/>
                <w:color w:val="000000"/>
                <w:sz w:val="24"/>
                <w:lang w:val="en-US" w:eastAsia="zh-CN"/>
              </w:rPr>
              <w:t>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93031C8">
      <w:pPr>
        <w:numPr>
          <w:ilvl w:val="0"/>
          <w:numId w:val="0"/>
        </w:numPr>
        <w:spacing w:line="640" w:lineRule="exact"/>
        <w:ind w:firstLine="480" w:firstLineChars="20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工程竣工验收合格且工程审计结束后付至实际供货量90%，二年质保期满后，付清尾款（无息）</w:t>
      </w:r>
      <w:r>
        <w:rPr>
          <w:rFonts w:hint="eastAsia" w:ascii="方正仿宋_GBK" w:hAnsi="方正仿宋_GBK" w:eastAsia="方正仿宋_GBK" w:cs="方正仿宋_GBK"/>
          <w:bCs/>
          <w:sz w:val="24"/>
          <w:u w:val="single"/>
        </w:rPr>
        <w:t>。</w:t>
      </w:r>
      <w:r>
        <w:rPr>
          <w:rFonts w:hint="eastAsia" w:ascii="方正仿宋_GBK" w:hAnsi="方正仿宋_GBK" w:eastAsia="方正仿宋_GBK" w:cs="方正仿宋_GBK"/>
          <w:bCs/>
          <w:sz w:val="24"/>
          <w:u w:val="single"/>
          <w:lang w:val="en-US" w:eastAsia="zh-CN"/>
        </w:rPr>
        <w:t>以上材料款支付，需满足建设单位工程款已支付且按同比例支付材料款。</w:t>
      </w:r>
    </w:p>
    <w:p w14:paraId="66B47B68">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u w:val="none"/>
          <w:lang w:val="en-US" w:eastAsia="zh-CN"/>
        </w:rPr>
        <w:t>3</w:t>
      </w: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rPr>
        <w:t>核对完成后乙方开具相应金额的</w:t>
      </w:r>
      <w:r>
        <w:rPr>
          <w:rFonts w:hint="eastAsia" w:ascii="方正仿宋_GBK" w:hAnsi="方正仿宋_GBK" w:eastAsia="方正仿宋_GBK" w:cs="方正仿宋_GBK"/>
          <w:bCs/>
          <w:sz w:val="24"/>
          <w:lang w:eastAsia="zh-CN"/>
        </w:rPr>
        <w:t>增值税专</w:t>
      </w:r>
      <w:r>
        <w:rPr>
          <w:rFonts w:hint="eastAsia" w:ascii="方正仿宋_GBK" w:hAnsi="方正仿宋_GBK" w:eastAsia="方正仿宋_GBK" w:cs="方正仿宋_GBK"/>
          <w:bCs/>
          <w:sz w:val="24"/>
        </w:rPr>
        <w:t>票，</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34C00FDB">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p>
    <w:p w14:paraId="2C3BFF03">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eastAsia="zh-CN"/>
        </w:rPr>
        <w:t>汤杰</w:t>
      </w:r>
    </w:p>
    <w:p w14:paraId="337DBA56">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13338866640</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30"/>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30"/>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30"/>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11C78E75">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4、</w:t>
      </w:r>
      <w:r>
        <w:rPr>
          <w:rFonts w:hint="eastAsia" w:ascii="方正仿宋_GBK" w:hAnsi="方正仿宋_GBK" w:eastAsia="方正仿宋_GBK" w:cs="方正仿宋_GBK"/>
          <w:bCs/>
          <w:color w:val="000000"/>
          <w:sz w:val="24"/>
        </w:rPr>
        <w:t>乙方提供石材样品经过建设单位认可的第三方检测单位检测，并出具相关报告，若乙方样品进行验收检测后判定为不合格，甲方有权要求乙方在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1ADFE595">
      <w:pPr>
        <w:spacing w:line="360" w:lineRule="auto"/>
        <w:jc w:val="both"/>
        <w:rPr>
          <w:rFonts w:hint="eastAsia" w:ascii="宋体" w:hAnsi="宋体" w:cs="宋体"/>
          <w:b/>
          <w:bCs/>
          <w:sz w:val="32"/>
          <w:szCs w:val="32"/>
        </w:rPr>
        <w:sectPr>
          <w:headerReference r:id="rId6" w:type="default"/>
          <w:footerReference r:id="rId7"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名称：</w:t>
      </w:r>
      <w:r>
        <w:rPr>
          <w:rFonts w:hint="eastAsia" w:ascii="宋体" w:hAnsi="宋体"/>
          <w:sz w:val="24"/>
          <w:szCs w:val="24"/>
          <w:u w:val="single"/>
          <w:lang w:val="en-US" w:eastAsia="zh-CN"/>
        </w:rPr>
        <w:t>原威亨电厂出线供热管道迁改工程砂石材料采购</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b w:val="0"/>
          <w:bCs/>
          <w:sz w:val="24"/>
          <w:szCs w:val="24"/>
          <w:lang w:val="zh-CN" w:eastAsia="zh-CN"/>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u w:val="single"/>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color w:val="000000"/>
          <w:sz w:val="24"/>
          <w:u w:val="single"/>
          <w:lang w:val="en-US" w:eastAsia="zh-CN"/>
        </w:rPr>
        <w:t>原威亨电厂出线供热管道迁改工程砂石材料采购</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1、本协议作为</w:t>
      </w:r>
      <w:r>
        <w:rPr>
          <w:rFonts w:hint="eastAsia" w:ascii="方正仿宋_GBK" w:hAnsi="方正仿宋_GBK" w:eastAsia="方正仿宋_GBK" w:cs="方正仿宋_GBK"/>
          <w:sz w:val="24"/>
          <w:szCs w:val="24"/>
          <w:u w:val="single"/>
          <w:lang w:val="en-US" w:eastAsia="zh-CN"/>
        </w:rPr>
        <w:t>原威亨电厂出线供热管道迁改工程砂石材料采购</w:t>
      </w:r>
      <w:r>
        <w:rPr>
          <w:rFonts w:hint="eastAsia" w:ascii="方正仿宋_GBK" w:hAnsi="方正仿宋_GBK" w:eastAsia="方正仿宋_GBK" w:cs="方正仿宋_GBK"/>
          <w:sz w:val="24"/>
          <w:szCs w:val="24"/>
          <w:u w:val="single"/>
        </w:rPr>
        <w:t>合同</w:t>
      </w:r>
      <w:r>
        <w:rPr>
          <w:rFonts w:hint="eastAsia" w:ascii="方正仿宋_GBK" w:hAnsi="方正仿宋_GBK" w:eastAsia="方正仿宋_GBK" w:cs="方正仿宋_GBK"/>
          <w:sz w:val="24"/>
          <w:szCs w:val="24"/>
        </w:rPr>
        <w:t>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4"/>
        <w:rPr>
          <w:color w:val="000000" w:themeColor="text1"/>
          <w14:textFill>
            <w14:solidFill>
              <w14:schemeClr w14:val="tx1"/>
            </w14:solidFill>
          </w14:textFill>
        </w:rPr>
      </w:pPr>
    </w:p>
    <w:sectPr>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65D910-A0CF-4BD1-8BB6-E7418449F672}"/>
  </w:font>
  <w:font w:name="黑体">
    <w:panose1 w:val="02010609060101010101"/>
    <w:charset w:val="86"/>
    <w:family w:val="auto"/>
    <w:pitch w:val="default"/>
    <w:sig w:usb0="800002BF" w:usb1="38CF7CFA" w:usb2="00000016" w:usb3="00000000" w:csb0="00040001" w:csb1="00000000"/>
    <w:embedRegular r:id="rId2" w:fontKey="{FE21653D-723E-4722-A209-7D2E6A8289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ECA4D2C-DB93-4440-BC23-92F202595977}"/>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E49F46CA-88B2-497F-BF81-6831413A968C}"/>
  </w:font>
  <w:font w:name="楷体_GB2312">
    <w:panose1 w:val="02010609030101010101"/>
    <w:charset w:val="86"/>
    <w:family w:val="modern"/>
    <w:pitch w:val="default"/>
    <w:sig w:usb0="00000001" w:usb1="080E0000" w:usb2="00000000" w:usb3="00000000" w:csb0="00040000" w:csb1="00000000"/>
    <w:embedRegular r:id="rId5" w:fontKey="{AF1B692F-1425-4B62-BF4C-617C27D3AAB2}"/>
  </w:font>
  <w:font w:name="方正小标宋_GBK">
    <w:panose1 w:val="03000509000000000000"/>
    <w:charset w:val="86"/>
    <w:family w:val="auto"/>
    <w:pitch w:val="default"/>
    <w:sig w:usb0="00000001" w:usb1="080E0000" w:usb2="00000000" w:usb3="00000000" w:csb0="00040000" w:csb1="00000000"/>
    <w:embedRegular r:id="rId6" w:fontKey="{FADD5943-7D3E-4095-9D73-474CB1B07243}"/>
  </w:font>
  <w:font w:name="方正仿宋_GBK">
    <w:panose1 w:val="03000509000000000000"/>
    <w:charset w:val="86"/>
    <w:family w:val="auto"/>
    <w:pitch w:val="default"/>
    <w:sig w:usb0="00000001" w:usb1="080E0000" w:usb2="00000000" w:usb3="00000000" w:csb0="00040000" w:csb1="00000000"/>
    <w:embedRegular r:id="rId7" w:fontKey="{D1053572-282C-40D3-8D18-8121C1161C74}"/>
  </w:font>
  <w:font w:name="仿宋">
    <w:panose1 w:val="02010609060101010101"/>
    <w:charset w:val="86"/>
    <w:family w:val="auto"/>
    <w:pitch w:val="default"/>
    <w:sig w:usb0="800002BF" w:usb1="38CF7CFA" w:usb2="00000016" w:usb3="00000000" w:csb0="00040001" w:csb1="00000000"/>
    <w:embedRegular r:id="rId8" w:fontKey="{42DA6CCE-1F86-4004-A9B7-0BBBB10D7C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A0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78B0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78B0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D157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AD157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AA3D">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EF57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1EF57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F58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2F58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A869AEF"/>
    <w:multiLevelType w:val="singleLevel"/>
    <w:tmpl w:val="5A869AEF"/>
    <w:lvl w:ilvl="0" w:tentative="0">
      <w:start w:val="1"/>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0AE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2D1E"/>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AA776C"/>
    <w:rsid w:val="01B97F5E"/>
    <w:rsid w:val="02186A33"/>
    <w:rsid w:val="02B726F0"/>
    <w:rsid w:val="03920CFE"/>
    <w:rsid w:val="03C76963"/>
    <w:rsid w:val="04506958"/>
    <w:rsid w:val="04ED064B"/>
    <w:rsid w:val="05235BBF"/>
    <w:rsid w:val="05616943"/>
    <w:rsid w:val="057A6F83"/>
    <w:rsid w:val="06574153"/>
    <w:rsid w:val="07B132EE"/>
    <w:rsid w:val="08971538"/>
    <w:rsid w:val="09A23D87"/>
    <w:rsid w:val="0BC263E3"/>
    <w:rsid w:val="0C006D9B"/>
    <w:rsid w:val="0C391C75"/>
    <w:rsid w:val="0C460641"/>
    <w:rsid w:val="0C530F7B"/>
    <w:rsid w:val="0D046532"/>
    <w:rsid w:val="0D9773A6"/>
    <w:rsid w:val="0DD62E5F"/>
    <w:rsid w:val="0E5A3EAC"/>
    <w:rsid w:val="105E328D"/>
    <w:rsid w:val="10E46038"/>
    <w:rsid w:val="118916FB"/>
    <w:rsid w:val="119357E0"/>
    <w:rsid w:val="11DD6CEC"/>
    <w:rsid w:val="122657AD"/>
    <w:rsid w:val="12AD1419"/>
    <w:rsid w:val="12EA5FE1"/>
    <w:rsid w:val="13141EF4"/>
    <w:rsid w:val="137837D5"/>
    <w:rsid w:val="15303EB5"/>
    <w:rsid w:val="153951E6"/>
    <w:rsid w:val="158F2D02"/>
    <w:rsid w:val="16924BAE"/>
    <w:rsid w:val="16D64DEC"/>
    <w:rsid w:val="1748310D"/>
    <w:rsid w:val="17AA4179"/>
    <w:rsid w:val="18282018"/>
    <w:rsid w:val="18D9355E"/>
    <w:rsid w:val="192D0BBE"/>
    <w:rsid w:val="1A933FAF"/>
    <w:rsid w:val="1AC63078"/>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44622E1"/>
    <w:rsid w:val="25D925CC"/>
    <w:rsid w:val="260C121F"/>
    <w:rsid w:val="26BA2DC8"/>
    <w:rsid w:val="26E30BFE"/>
    <w:rsid w:val="28994243"/>
    <w:rsid w:val="28E0030A"/>
    <w:rsid w:val="28E66D39"/>
    <w:rsid w:val="29914D90"/>
    <w:rsid w:val="2A2E41B5"/>
    <w:rsid w:val="2B4431B2"/>
    <w:rsid w:val="2B794F42"/>
    <w:rsid w:val="2CA37518"/>
    <w:rsid w:val="2F7F766D"/>
    <w:rsid w:val="2F950E14"/>
    <w:rsid w:val="2FFE5B53"/>
    <w:rsid w:val="302C4955"/>
    <w:rsid w:val="31A368A5"/>
    <w:rsid w:val="31F0483A"/>
    <w:rsid w:val="3220530C"/>
    <w:rsid w:val="32CA33D5"/>
    <w:rsid w:val="32E43D91"/>
    <w:rsid w:val="33976056"/>
    <w:rsid w:val="34804ED0"/>
    <w:rsid w:val="34EC7159"/>
    <w:rsid w:val="35126C18"/>
    <w:rsid w:val="359F24A9"/>
    <w:rsid w:val="377C1237"/>
    <w:rsid w:val="37AF7C77"/>
    <w:rsid w:val="37CE7A02"/>
    <w:rsid w:val="38CF23F6"/>
    <w:rsid w:val="38EF191E"/>
    <w:rsid w:val="3A7043D6"/>
    <w:rsid w:val="3B223EA3"/>
    <w:rsid w:val="3B257EFE"/>
    <w:rsid w:val="3B9545AF"/>
    <w:rsid w:val="3BE3534E"/>
    <w:rsid w:val="3C646ABC"/>
    <w:rsid w:val="3C691FB0"/>
    <w:rsid w:val="3CA8662A"/>
    <w:rsid w:val="3CB00D71"/>
    <w:rsid w:val="3D1E68EC"/>
    <w:rsid w:val="3F4645C5"/>
    <w:rsid w:val="3F8E7211"/>
    <w:rsid w:val="3FF839D9"/>
    <w:rsid w:val="406069A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ECF28B8"/>
    <w:rsid w:val="4FE34DE9"/>
    <w:rsid w:val="50B6349B"/>
    <w:rsid w:val="50D92A99"/>
    <w:rsid w:val="511B5891"/>
    <w:rsid w:val="513F3A5E"/>
    <w:rsid w:val="516A7EFA"/>
    <w:rsid w:val="523634E2"/>
    <w:rsid w:val="5302488E"/>
    <w:rsid w:val="53361833"/>
    <w:rsid w:val="53A92F5C"/>
    <w:rsid w:val="563034C0"/>
    <w:rsid w:val="567C0A12"/>
    <w:rsid w:val="56A8222D"/>
    <w:rsid w:val="56D62531"/>
    <w:rsid w:val="571E1031"/>
    <w:rsid w:val="5731653C"/>
    <w:rsid w:val="5774785F"/>
    <w:rsid w:val="58277A0D"/>
    <w:rsid w:val="58A65CBC"/>
    <w:rsid w:val="58D6764A"/>
    <w:rsid w:val="59B57910"/>
    <w:rsid w:val="59D52356"/>
    <w:rsid w:val="5B7351F1"/>
    <w:rsid w:val="5C5B429D"/>
    <w:rsid w:val="5D582E82"/>
    <w:rsid w:val="5DEC3213"/>
    <w:rsid w:val="5E445D2E"/>
    <w:rsid w:val="5F795ED8"/>
    <w:rsid w:val="6279082B"/>
    <w:rsid w:val="62C31218"/>
    <w:rsid w:val="6370314E"/>
    <w:rsid w:val="64747F00"/>
    <w:rsid w:val="64FD6B36"/>
    <w:rsid w:val="65387C9C"/>
    <w:rsid w:val="65EB0E69"/>
    <w:rsid w:val="6673154E"/>
    <w:rsid w:val="66746855"/>
    <w:rsid w:val="667F60B7"/>
    <w:rsid w:val="66A870A3"/>
    <w:rsid w:val="66C44D3E"/>
    <w:rsid w:val="66F35A29"/>
    <w:rsid w:val="678F10BD"/>
    <w:rsid w:val="68537464"/>
    <w:rsid w:val="68C57F09"/>
    <w:rsid w:val="69814491"/>
    <w:rsid w:val="6BBB4685"/>
    <w:rsid w:val="6CF272CA"/>
    <w:rsid w:val="6D0131CD"/>
    <w:rsid w:val="6D016897"/>
    <w:rsid w:val="6D116F45"/>
    <w:rsid w:val="6EC33740"/>
    <w:rsid w:val="6EE658EC"/>
    <w:rsid w:val="6FA2234A"/>
    <w:rsid w:val="6FC00FB9"/>
    <w:rsid w:val="6FD30157"/>
    <w:rsid w:val="715916C6"/>
    <w:rsid w:val="726C5429"/>
    <w:rsid w:val="749018A2"/>
    <w:rsid w:val="75F0011F"/>
    <w:rsid w:val="7686731E"/>
    <w:rsid w:val="778C2829"/>
    <w:rsid w:val="77D7083D"/>
    <w:rsid w:val="77E9764D"/>
    <w:rsid w:val="78135BBF"/>
    <w:rsid w:val="78387804"/>
    <w:rsid w:val="79D03971"/>
    <w:rsid w:val="7A546ECE"/>
    <w:rsid w:val="7AA15E8B"/>
    <w:rsid w:val="7AB53611"/>
    <w:rsid w:val="7B646DB9"/>
    <w:rsid w:val="7C013AC1"/>
    <w:rsid w:val="7C7575D0"/>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4"/>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索引 41"/>
    <w:next w:val="1"/>
    <w:qFormat/>
    <w:uiPriority w:val="0"/>
    <w:pPr>
      <w:widowControl w:val="0"/>
      <w:ind w:left="1260"/>
      <w:jc w:val="both"/>
    </w:pPr>
    <w:rPr>
      <w:rFonts w:hint="default" w:ascii="Calibri" w:hAnsi="Calibri" w:eastAsia="宋体" w:cs="Times New Roman"/>
      <w:sz w:val="21"/>
      <w:szCs w:val="20"/>
      <w:lang w:val="en-US" w:eastAsia="zh-CN" w:bidi="ar-SA"/>
    </w:rPr>
  </w:style>
  <w:style w:type="paragraph" w:customStyle="1" w:styleId="20">
    <w:name w:val="标题 5（有编号）（绿盟科技）"/>
    <w:basedOn w:val="1"/>
    <w:next w:val="2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
    <w:name w:val="页眉 Char"/>
    <w:link w:val="11"/>
    <w:qFormat/>
    <w:uiPriority w:val="0"/>
    <w:rPr>
      <w:kern w:val="2"/>
      <w:sz w:val="18"/>
      <w:szCs w:val="18"/>
    </w:rPr>
  </w:style>
  <w:style w:type="character" w:customStyle="1" w:styleId="23">
    <w:name w:val="页脚 Char"/>
    <w:link w:val="10"/>
    <w:qFormat/>
    <w:uiPriority w:val="0"/>
    <w:rPr>
      <w:kern w:val="2"/>
      <w:sz w:val="18"/>
      <w:szCs w:val="18"/>
    </w:rPr>
  </w:style>
  <w:style w:type="character" w:customStyle="1" w:styleId="24">
    <w:name w:val="正文文本缩进 Char"/>
    <w:link w:val="5"/>
    <w:qFormat/>
    <w:uiPriority w:val="0"/>
    <w:rPr>
      <w:rFonts w:ascii="宋体" w:hAnsi="Calibri"/>
      <w:kern w:val="2"/>
      <w:sz w:val="28"/>
      <w:szCs w:val="22"/>
    </w:rPr>
  </w:style>
  <w:style w:type="paragraph" w:customStyle="1" w:styleId="2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6">
    <w:name w:val="No Spacing1"/>
    <w:qFormat/>
    <w:uiPriority w:val="0"/>
    <w:rPr>
      <w:rFonts w:ascii="Calibri" w:hAnsi="Calibri" w:eastAsia="宋体" w:cs="Times New Roman"/>
      <w:sz w:val="22"/>
      <w:szCs w:val="22"/>
      <w:lang w:val="en-US" w:eastAsia="zh-CN" w:bidi="ar-SA"/>
    </w:rPr>
  </w:style>
  <w:style w:type="paragraph" w:customStyle="1" w:styleId="27">
    <w:name w:val="Char"/>
    <w:basedOn w:val="1"/>
    <w:qFormat/>
    <w:uiPriority w:val="0"/>
  </w:style>
  <w:style w:type="paragraph" w:customStyle="1" w:styleId="28">
    <w:name w:val="+正文"/>
    <w:basedOn w:val="1"/>
    <w:qFormat/>
    <w:uiPriority w:val="0"/>
    <w:pPr>
      <w:spacing w:line="360" w:lineRule="auto"/>
      <w:ind w:firstLine="200" w:firstLineChars="200"/>
    </w:pPr>
    <w:rPr>
      <w:sz w:val="24"/>
      <w:szCs w:val="28"/>
    </w:rPr>
  </w:style>
  <w:style w:type="paragraph" w:customStyle="1" w:styleId="29">
    <w:name w:val="List Paragraph1"/>
    <w:basedOn w:val="1"/>
    <w:qFormat/>
    <w:uiPriority w:val="0"/>
    <w:pPr>
      <w:widowControl/>
      <w:ind w:firstLine="420" w:firstLineChars="200"/>
      <w:jc w:val="left"/>
    </w:pPr>
    <w:rPr>
      <w:rFonts w:ascii="宋体" w:hAnsi="宋体" w:cs="宋体"/>
      <w:kern w:val="0"/>
      <w:sz w:val="24"/>
    </w:rPr>
  </w:style>
  <w:style w:type="paragraph" w:styleId="3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4668</Words>
  <Characters>4781</Characters>
  <Lines>30</Lines>
  <Paragraphs>8</Paragraphs>
  <TotalTime>0</TotalTime>
  <ScaleCrop>false</ScaleCrop>
  <LinksUpToDate>false</LinksUpToDate>
  <CharactersWithSpaces>5332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2025-09-12T07:07:00Z</cp:lastPrinted>
  <dcterms:modified xsi:type="dcterms:W3CDTF">2025-09-15T01:08:26Z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0720221EAE6540408DAEDBD08E4C0918_13</vt:lpwstr>
  </property>
  <property fmtid="{D5CDD505-2E9C-101B-9397-08002B2CF9AE}" pid="4" name="KSOTemplateDocerSaveRecord">
    <vt:lpwstr>eyJoZGlkIjoiZDJkZjg2YmUyZTdjMzQ4ZGRhZDcxZWU5OGZjYWUzMmUiLCJ1c2VySWQiOiIxNjQ1Mzc3MjM2In0=</vt:lpwstr>
  </property>
</Properties>
</file>