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28BABBAA">
      <w:pPr>
        <w:adjustRightInd w:val="0"/>
        <w:snapToGrid w:val="0"/>
        <w:spacing w:line="360" w:lineRule="auto"/>
        <w:jc w:val="center"/>
        <w:rPr>
          <w:rFonts w:hint="eastAsia" w:ascii="方正黑体_GBK" w:hAnsi="方正黑体_GBK" w:eastAsia="方正黑体_GBK" w:cs="方正黑体_GBK"/>
          <w:bCs/>
          <w:spacing w:val="28"/>
          <w:sz w:val="56"/>
          <w:szCs w:val="52"/>
          <w:lang w:val="en-US" w:eastAsia="zh-CN"/>
        </w:rPr>
      </w:pPr>
      <w:r>
        <w:rPr>
          <w:rFonts w:hint="eastAsia" w:ascii="仿宋_GB2312" w:hAnsi="宋体" w:eastAsia="仿宋_GB2312"/>
          <w:b/>
          <w:spacing w:val="28"/>
          <w:sz w:val="52"/>
          <w:szCs w:val="48"/>
          <w:lang w:val="en-US" w:eastAsia="zh-CN"/>
        </w:rPr>
        <w:t>扬州市六圩污水处理厂扩建工程EPC工程总承包水稳、沥青</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2"/>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5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30 </w:t>
      </w:r>
      <w:r>
        <w:rPr>
          <w:rFonts w:hint="eastAsia" w:ascii="仿宋_GB2312" w:hAnsi="宋体" w:eastAsia="仿宋_GB2312"/>
          <w:b/>
          <w:bCs/>
          <w:snapToGrid w:val="0"/>
          <w:color w:val="auto"/>
          <w:sz w:val="30"/>
        </w:rPr>
        <w:t>日</w:t>
      </w:r>
    </w:p>
    <w:p w14:paraId="68A6F6DC">
      <w:pPr>
        <w:spacing w:line="360" w:lineRule="auto"/>
        <w:jc w:val="both"/>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8"/>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扬州市六圩污水处理厂扩建工程EPC工程总承包水稳、沥青材料采购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2FA19751">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8"/>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扬州市上善建设工程有限公司就扬州市六圩污水处理厂扩建工程EPC工程总承包</w:t>
      </w:r>
      <w:r>
        <w:rPr>
          <w:rFonts w:hint="eastAsia" w:ascii="宋体" w:hAnsi="宋体" w:cs="Times New Roman"/>
          <w:szCs w:val="21"/>
          <w:lang w:val="en-US" w:eastAsia="zh-CN"/>
        </w:rPr>
        <w:t>水稳、沥青材料采购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5"/>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5"/>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8"/>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扬州市六圩污水处理厂扩建工程EPC工程总承包</w:t>
      </w:r>
      <w:r>
        <w:rPr>
          <w:rFonts w:hint="eastAsia" w:ascii="宋体" w:hAnsi="宋体" w:cs="Times New Roman"/>
          <w:szCs w:val="21"/>
          <w:lang w:val="en-US" w:eastAsia="zh-CN"/>
        </w:rPr>
        <w:t>水稳、</w:t>
      </w:r>
      <w:r>
        <w:rPr>
          <w:rFonts w:hint="eastAsia" w:ascii="宋体" w:hAnsi="宋体"/>
          <w:szCs w:val="21"/>
          <w:lang w:val="en-US" w:eastAsia="zh-CN"/>
        </w:rPr>
        <w:t>沥青材料采购</w:t>
      </w:r>
    </w:p>
    <w:tbl>
      <w:tblPr>
        <w:tblStyle w:val="18"/>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606"/>
        <w:gridCol w:w="191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0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91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350" w:type="dxa"/>
            <w:tcBorders>
              <w:tl2br w:val="nil"/>
              <w:tr2bl w:val="nil"/>
            </w:tcBorders>
            <w:shd w:val="clear" w:color="FFFFFF" w:fill="FFFFFF"/>
            <w:vAlign w:val="center"/>
          </w:tcPr>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FB0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606B8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06" w:type="dxa"/>
            <w:tcBorders>
              <w:tl2br w:val="nil"/>
              <w:tr2bl w:val="nil"/>
            </w:tcBorders>
            <w:shd w:val="clear" w:color="auto" w:fill="auto"/>
            <w:vAlign w:val="center"/>
          </w:tcPr>
          <w:p w14:paraId="3CC149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水泥稳定碎（砾）石</w:t>
            </w:r>
          </w:p>
        </w:tc>
        <w:tc>
          <w:tcPr>
            <w:tcW w:w="1915" w:type="dxa"/>
            <w:tcBorders>
              <w:tl2br w:val="nil"/>
              <w:tr2bl w:val="nil"/>
            </w:tcBorders>
            <w:shd w:val="clear" w:color="auto" w:fill="auto"/>
            <w:vAlign w:val="center"/>
          </w:tcPr>
          <w:p w14:paraId="496E49F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水泥含量：3-5%</w:t>
            </w:r>
          </w:p>
        </w:tc>
        <w:tc>
          <w:tcPr>
            <w:tcW w:w="663" w:type="dxa"/>
            <w:tcBorders>
              <w:tl2br w:val="nil"/>
              <w:tr2bl w:val="nil"/>
            </w:tcBorders>
            <w:shd w:val="clear" w:color="auto" w:fill="auto"/>
            <w:vAlign w:val="center"/>
          </w:tcPr>
          <w:p w14:paraId="1CA8DD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73596FBF">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14070</w:t>
            </w:r>
          </w:p>
        </w:tc>
        <w:tc>
          <w:tcPr>
            <w:tcW w:w="1610" w:type="dxa"/>
            <w:tcBorders>
              <w:tl2br w:val="nil"/>
              <w:tr2bl w:val="nil"/>
            </w:tcBorders>
            <w:shd w:val="clear" w:color="auto" w:fill="auto"/>
            <w:vAlign w:val="center"/>
          </w:tcPr>
          <w:p w14:paraId="608F4C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350" w:type="dxa"/>
            <w:tcBorders>
              <w:tl2br w:val="nil"/>
              <w:tr2bl w:val="nil"/>
            </w:tcBorders>
            <w:shd w:val="clear" w:color="auto" w:fill="auto"/>
            <w:vAlign w:val="center"/>
          </w:tcPr>
          <w:p w14:paraId="1527F785">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1969800</w:t>
            </w:r>
          </w:p>
        </w:tc>
        <w:tc>
          <w:tcPr>
            <w:tcW w:w="2012" w:type="dxa"/>
            <w:tcBorders>
              <w:tl2br w:val="nil"/>
              <w:tr2bl w:val="nil"/>
            </w:tcBorders>
            <w:shd w:val="clear" w:color="auto" w:fill="auto"/>
            <w:vAlign w:val="center"/>
          </w:tcPr>
          <w:p w14:paraId="5C0391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606" w:type="dxa"/>
            <w:tcBorders>
              <w:tl2br w:val="nil"/>
              <w:tr2bl w:val="nil"/>
            </w:tcBorders>
            <w:shd w:val="clear" w:color="auto" w:fill="auto"/>
            <w:vAlign w:val="center"/>
          </w:tcPr>
          <w:p w14:paraId="5E92C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191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沥青混凝土种类：粗粒式沥青混凝土AC-25（石灰岩）</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2860</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1244100</w:t>
            </w:r>
          </w:p>
        </w:tc>
        <w:tc>
          <w:tcPr>
            <w:tcW w:w="2012" w:type="dxa"/>
            <w:tcBorders>
              <w:tl2br w:val="nil"/>
              <w:tr2bl w:val="nil"/>
            </w:tcBorders>
            <w:shd w:val="clear" w:color="auto" w:fill="auto"/>
            <w:vAlign w:val="center"/>
          </w:tcPr>
          <w:p w14:paraId="5920B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厚度：8cm</w:t>
            </w:r>
          </w:p>
        </w:tc>
      </w:tr>
      <w:tr w14:paraId="32E9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2" w:type="dxa"/>
            <w:tcBorders>
              <w:tl2br w:val="nil"/>
              <w:tr2bl w:val="nil"/>
            </w:tcBorders>
            <w:shd w:val="clear" w:color="auto" w:fill="auto"/>
            <w:vAlign w:val="center"/>
          </w:tcPr>
          <w:p w14:paraId="64D9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606" w:type="dxa"/>
            <w:tcBorders>
              <w:tl2br w:val="nil"/>
              <w:tr2bl w:val="nil"/>
            </w:tcBorders>
            <w:shd w:val="clear" w:color="auto" w:fill="auto"/>
            <w:vAlign w:val="center"/>
          </w:tcPr>
          <w:p w14:paraId="035E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1915" w:type="dxa"/>
            <w:tcBorders>
              <w:tl2br w:val="nil"/>
              <w:tr2bl w:val="nil"/>
            </w:tcBorders>
            <w:shd w:val="clear" w:color="auto" w:fill="auto"/>
            <w:vAlign w:val="center"/>
          </w:tcPr>
          <w:p w14:paraId="4DD91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沥青混凝土种类：细粒式沥青混凝土AC-13C</w:t>
            </w:r>
          </w:p>
        </w:tc>
        <w:tc>
          <w:tcPr>
            <w:tcW w:w="663" w:type="dxa"/>
            <w:tcBorders>
              <w:tl2br w:val="nil"/>
              <w:tr2bl w:val="nil"/>
            </w:tcBorders>
            <w:shd w:val="clear" w:color="auto" w:fill="auto"/>
            <w:vAlign w:val="center"/>
          </w:tcPr>
          <w:p w14:paraId="0012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6CDCC54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1397</w:t>
            </w:r>
          </w:p>
        </w:tc>
        <w:tc>
          <w:tcPr>
            <w:tcW w:w="1610" w:type="dxa"/>
            <w:tcBorders>
              <w:tl2br w:val="nil"/>
              <w:tr2bl w:val="nil"/>
            </w:tcBorders>
            <w:shd w:val="clear" w:color="auto" w:fill="auto"/>
            <w:vAlign w:val="center"/>
          </w:tcPr>
          <w:p w14:paraId="52288C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w:t>
            </w:r>
          </w:p>
        </w:tc>
        <w:tc>
          <w:tcPr>
            <w:tcW w:w="1350" w:type="dxa"/>
            <w:tcBorders>
              <w:tl2br w:val="nil"/>
              <w:tr2bl w:val="nil"/>
            </w:tcBorders>
            <w:shd w:val="clear" w:color="auto" w:fill="auto"/>
            <w:vAlign w:val="center"/>
          </w:tcPr>
          <w:p w14:paraId="460A93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649605</w:t>
            </w:r>
          </w:p>
        </w:tc>
        <w:tc>
          <w:tcPr>
            <w:tcW w:w="2012" w:type="dxa"/>
            <w:tcBorders>
              <w:tl2br w:val="nil"/>
              <w:tr2bl w:val="nil"/>
            </w:tcBorders>
            <w:shd w:val="clear" w:color="auto" w:fill="auto"/>
            <w:vAlign w:val="center"/>
          </w:tcPr>
          <w:p w14:paraId="7204900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厚度：4cm</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3863505</w:t>
            </w:r>
            <w:r>
              <w:rPr>
                <w:rFonts w:hint="eastAsia" w:ascii="宋体" w:hAnsi="宋体" w:eastAsia="宋体" w:cs="宋体"/>
                <w:i w:val="0"/>
                <w:iCs w:val="0"/>
                <w:color w:val="000000"/>
                <w:kern w:val="0"/>
                <w:sz w:val="22"/>
                <w:szCs w:val="22"/>
                <w:u w:val="none"/>
                <w:lang w:val="en-US" w:eastAsia="zh-CN" w:bidi="ar"/>
              </w:rPr>
              <w:t>(元)</w:t>
            </w:r>
          </w:p>
        </w:tc>
      </w:tr>
    </w:tbl>
    <w:p w14:paraId="0EDBCF57">
      <w:pPr>
        <w:ind w:firstLine="480" w:firstLineChars="200"/>
        <w:jc w:val="left"/>
        <w:rPr>
          <w:rFonts w:hint="eastAsia" w:ascii="宋体" w:hAnsi="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方正仿宋_GBK" w:hAnsi="方正仿宋_GBK" w:eastAsia="方正仿宋_GBK" w:cs="方正仿宋_GBK"/>
          <w:b/>
          <w:bCs/>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7E8738D3">
      <w:pPr>
        <w:ind w:firstLine="480" w:firstLineChars="200"/>
        <w:jc w:val="left"/>
        <w:rPr>
          <w:rFonts w:hint="eastAsia" w:ascii="宋体" w:hAnsi="宋体"/>
          <w:b/>
          <w:szCs w:val="21"/>
          <w:lang w:val="en-US" w:eastAsia="zh-CN"/>
        </w:rPr>
      </w:pPr>
      <w:r>
        <w:rPr>
          <w:rFonts w:hint="eastAsia" w:ascii="方正仿宋_GBK" w:hAnsi="方正仿宋_GBK" w:eastAsia="方正仿宋_GBK" w:cs="方正仿宋_GBK"/>
          <w:b w:val="0"/>
          <w:bCs w:val="0"/>
          <w:color w:val="000000"/>
          <w:sz w:val="24"/>
          <w:lang w:val="en-US" w:eastAsia="zh-CN"/>
        </w:rPr>
        <w:t>4</w:t>
      </w:r>
      <w:r>
        <w:rPr>
          <w:rFonts w:hint="eastAsia" w:ascii="方正仿宋_GBK" w:hAnsi="方正仿宋_GBK" w:eastAsia="方正仿宋_GBK" w:cs="方正仿宋_GBK"/>
          <w:b/>
          <w:bCs/>
          <w:color w:val="000000"/>
          <w:sz w:val="24"/>
          <w:lang w:val="en-US" w:eastAsia="zh-CN"/>
        </w:rPr>
        <w:t>、</w:t>
      </w:r>
      <w:r>
        <w:rPr>
          <w:rFonts w:hint="eastAsia" w:ascii="宋体" w:hAnsi="宋体"/>
          <w:b/>
          <w:bCs/>
          <w:szCs w:val="21"/>
          <w:lang w:val="en-US" w:eastAsia="zh-CN"/>
        </w:rPr>
        <w:t>技术参数</w:t>
      </w:r>
      <w:r>
        <w:rPr>
          <w:rFonts w:hint="eastAsia" w:ascii="宋体" w:hAnsi="宋体"/>
          <w:b/>
          <w:szCs w:val="21"/>
          <w:lang w:eastAsia="zh-CN"/>
        </w:rPr>
        <w:t>：</w:t>
      </w:r>
    </w:p>
    <w:p w14:paraId="01B2D0AF">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水泥稳定碎石</w:t>
      </w:r>
    </w:p>
    <w:p w14:paraId="5D93B114">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1集料:水泥稳定碎石基层所用集料的最大粒径应不大于37.5mm,压碎值不大于30%，粗集料中针片状量应不大于18%，</w:t>
      </w:r>
      <w:r>
        <w:rPr>
          <w:rFonts w:hint="eastAsia" w:ascii="宋体" w:hAnsi="宋体" w:cs="Times New Roman"/>
          <w:kern w:val="2"/>
          <w:sz w:val="21"/>
          <w:szCs w:val="21"/>
          <w:lang w:val="en-US" w:eastAsia="zh-CN" w:bidi="ar-SA"/>
        </w:rPr>
        <w:t>级配类型采用</w:t>
      </w:r>
      <w:r>
        <w:rPr>
          <w:rFonts w:hint="eastAsia" w:ascii="宋体" w:hAnsi="宋体" w:eastAsia="宋体" w:cs="Times New Roman"/>
          <w:kern w:val="2"/>
          <w:sz w:val="21"/>
          <w:szCs w:val="21"/>
          <w:lang w:val="en-US" w:eastAsia="zh-CN" w:bidi="ar-SA"/>
        </w:rPr>
        <w:t>骨架密实型，符合《城镇道路工程施工与质量验收规范》</w:t>
      </w:r>
      <w:r>
        <w:rPr>
          <w:rFonts w:hint="eastAsia" w:ascii="宋体" w:hAnsi="宋体" w:cs="Times New Roman"/>
          <w:kern w:val="2"/>
          <w:sz w:val="21"/>
          <w:szCs w:val="21"/>
          <w:lang w:val="en-US" w:eastAsia="zh-CN" w:bidi="ar-SA"/>
        </w:rPr>
        <w:t>（CJJ1-2008）</w:t>
      </w:r>
    </w:p>
    <w:p w14:paraId="74C55C12">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4.2</w:t>
      </w:r>
      <w:r>
        <w:rPr>
          <w:rFonts w:hint="eastAsia" w:ascii="宋体" w:hAnsi="宋体" w:eastAsia="宋体" w:cs="Times New Roman"/>
          <w:kern w:val="2"/>
          <w:sz w:val="21"/>
          <w:szCs w:val="21"/>
          <w:lang w:val="en-US" w:eastAsia="zh-CN" w:bidi="ar-SA"/>
        </w:rPr>
        <w:t>水泥:水泥宜采用强度等级42.5的普通硅酸盐水泥</w:t>
      </w:r>
      <w:r>
        <w:rPr>
          <w:rFonts w:hint="eastAsia" w:ascii="宋体" w:hAnsi="宋体" w:cs="Times New Roman"/>
          <w:kern w:val="2"/>
          <w:sz w:val="21"/>
          <w:szCs w:val="21"/>
          <w:lang w:val="en-US" w:eastAsia="zh-CN" w:bidi="ar-SA"/>
        </w:rPr>
        <w:t>或</w:t>
      </w:r>
      <w:r>
        <w:rPr>
          <w:rFonts w:hint="eastAsia" w:ascii="宋体" w:hAnsi="宋体" w:eastAsia="宋体" w:cs="Times New Roman"/>
          <w:kern w:val="2"/>
          <w:sz w:val="21"/>
          <w:szCs w:val="21"/>
          <w:lang w:val="en-US" w:eastAsia="zh-CN" w:bidi="ar-SA"/>
        </w:rPr>
        <w:t>矿渣硅酸盐水泥，质量必须符合现行国家标准。</w:t>
      </w:r>
    </w:p>
    <w:p w14:paraId="2151235D">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4.3</w:t>
      </w:r>
      <w:r>
        <w:rPr>
          <w:rFonts w:hint="eastAsia" w:ascii="宋体" w:hAnsi="宋体" w:eastAsia="宋体" w:cs="Times New Roman"/>
          <w:kern w:val="2"/>
          <w:sz w:val="21"/>
          <w:szCs w:val="21"/>
          <w:lang w:val="en-US" w:eastAsia="zh-CN" w:bidi="ar-SA"/>
        </w:rPr>
        <w:t>水:水应采用饮用水。</w:t>
      </w:r>
    </w:p>
    <w:p w14:paraId="7D9D54E5">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4.4</w:t>
      </w:r>
      <w:r>
        <w:rPr>
          <w:rFonts w:hint="eastAsia" w:ascii="宋体" w:hAnsi="宋体" w:eastAsia="宋体" w:cs="Times New Roman"/>
          <w:kern w:val="2"/>
          <w:sz w:val="21"/>
          <w:szCs w:val="21"/>
          <w:lang w:val="en-US" w:eastAsia="zh-CN" w:bidi="ar-SA"/>
        </w:rPr>
        <w:t>混合料设计</w:t>
      </w:r>
    </w:p>
    <w:p w14:paraId="391E457E">
      <w:pPr>
        <w:ind w:firstLine="420" w:firstLineChars="200"/>
        <w:jc w:val="left"/>
        <w:rPr>
          <w:rFonts w:hint="eastAsia" w:ascii="宋体" w:hAnsi="宋体" w:eastAsia="宋体" w:cs="Times New Roman"/>
          <w:b/>
          <w:bCs/>
          <w:kern w:val="2"/>
          <w:sz w:val="21"/>
          <w:szCs w:val="21"/>
          <w:lang w:val="en-US" w:eastAsia="zh-CN" w:bidi="ar-SA"/>
        </w:rPr>
      </w:pPr>
      <w:r>
        <w:rPr>
          <w:rFonts w:hint="eastAsia" w:ascii="宋体" w:hAnsi="宋体" w:cs="Times New Roman"/>
          <w:kern w:val="2"/>
          <w:sz w:val="21"/>
          <w:szCs w:val="21"/>
          <w:lang w:val="en-US" w:eastAsia="zh-CN" w:bidi="ar-SA"/>
        </w:rPr>
        <w:t>4.4.1</w:t>
      </w:r>
      <w:r>
        <w:rPr>
          <w:rFonts w:hint="eastAsia" w:ascii="宋体" w:hAnsi="宋体" w:eastAsia="宋体" w:cs="Times New Roman"/>
          <w:kern w:val="2"/>
          <w:sz w:val="21"/>
          <w:szCs w:val="21"/>
          <w:lang w:val="en-US" w:eastAsia="zh-CN" w:bidi="ar-SA"/>
        </w:rPr>
        <w:t>基层</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7d浸水无侧限抗压强度为3.0MPa,压实度≥97%</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底基层的7d浸水无侧限抗压强度为2.05Pa</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压实度≥96%。各层水泥格掺量宜控制在3</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5%。</w:t>
      </w:r>
    </w:p>
    <w:p w14:paraId="649D6556">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沥青混凝土</w:t>
      </w:r>
    </w:p>
    <w:p w14:paraId="4194B874">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4.5沥青面层采用A级道路石油沥青。符合《城镇道路工程施工与质量验收规范》CJJ1-2008中技术要求。</w:t>
      </w:r>
    </w:p>
    <w:p w14:paraId="1829ABD5">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4.6粗集料:采石场生产或施工单位自行加工。符合《城镇道路工程施工与质量验收规范》CJJ1-2008中“其他等级道路”的指标要求。</w:t>
      </w:r>
    </w:p>
    <w:p w14:paraId="0B1407A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4.7细集料:洁净、干燥、无风化、无杂质。符合规范要求。</w:t>
      </w:r>
    </w:p>
    <w:p w14:paraId="6BC56FA8">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4.8矿粉：石灰岩或强基性岩石磨细，憎水性，符合规范。</w:t>
      </w:r>
    </w:p>
    <w:p w14:paraId="4034D967">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4.9沥青混合料配合比</w:t>
      </w:r>
    </w:p>
    <w:p w14:paraId="529AD38B">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4.9.1沥青混合料上面层采用4cmAC-13细粒式沥青混凝土,下面层采用8cmAC-25粗粒式沥青混凝土。级配范围应符合现行《公路沥青路面施工技术规范》(JTG F40-2004)表5.3.2-2要求。沥青混合料配合比还须进行车辙试验和水稳定性试验，并符合现行《公路沥青路面施工技术规范》表(JTG F40-2004)5.3.4-1.2中“普通沥青混合料”的技术要求。</w:t>
      </w:r>
    </w:p>
    <w:p w14:paraId="0678EAD2">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4.10透层</w:t>
      </w:r>
    </w:p>
    <w:p w14:paraId="29FC6DC6">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4.10.1基层顶面必须喷洒透层油（液体沥青AL(M)2/1或乳化沥青PC-2 ）用量为0.6~0.5L/m，设置0.6cm乳化沥青稀浆封层（ES-2型）</w:t>
      </w:r>
    </w:p>
    <w:p w14:paraId="5E3D6BD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4.11粘层</w:t>
      </w:r>
    </w:p>
    <w:p w14:paraId="21510BA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4.11.1粘层油品种和用量应根据下卧层的类型通过试洒确定，所使用的基质沥青标号与主层沥青混合料相同、粘层油质量和求见《城镇道路工程施工与质量验收规范》CJJ1-2008的规定，符合下列情况之一时，必须喷洒粘层油。</w:t>
      </w:r>
    </w:p>
    <w:p w14:paraId="5F580E73">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4.11.2沥青路面各沥青层之间:</w:t>
      </w:r>
    </w:p>
    <w:p w14:paraId="03FC9DF0">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4.11.3水泥泥凝土路面、沥青稳定碎石基层或旧沥青路面层上加铺沥青层; </w:t>
      </w:r>
    </w:p>
    <w:p w14:paraId="008829FB">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4.11.4路缘石、雨水口、检查并等构造物与新铺沥青混合料接触的侧面。</w:t>
      </w:r>
    </w:p>
    <w:p w14:paraId="62046F1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施工要求符合现行《城镇道路工程施工与质量验收规范》CJJ1-2008的规定。</w:t>
      </w:r>
    </w:p>
    <w:p w14:paraId="0FE57A46">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4.12稀浆封层</w:t>
      </w:r>
    </w:p>
    <w:p w14:paraId="4CA7D046">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4.12.1下封层采用0.6cm 乳化沥青稀浆封层。稀浆封层混合料可按照现行的《公路沥青路面施工技术规范》(JTG F40-2004)进行配比。</w:t>
      </w:r>
    </w:p>
    <w:p w14:paraId="04CA883D">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w:t>
      </w:r>
      <w:r>
        <w:rPr>
          <w:rFonts w:hint="default" w:ascii="宋体" w:hAnsi="宋体" w:cs="Times New Roman"/>
          <w:kern w:val="2"/>
          <w:sz w:val="21"/>
          <w:szCs w:val="21"/>
          <w:lang w:val="en-US" w:eastAsia="zh-CN" w:bidi="ar-SA"/>
        </w:rPr>
        <w:t>施工要求</w:t>
      </w:r>
    </w:p>
    <w:p w14:paraId="7777B8C0">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4.13.1</w:t>
      </w:r>
      <w:r>
        <w:rPr>
          <w:rFonts w:hint="default" w:ascii="宋体" w:hAnsi="宋体" w:cs="Times New Roman"/>
          <w:kern w:val="2"/>
          <w:sz w:val="21"/>
          <w:szCs w:val="21"/>
          <w:lang w:val="en-US" w:eastAsia="zh-CN" w:bidi="ar-SA"/>
        </w:rPr>
        <w:t>施工时必须严格按照并符合现行《城镇道路工程施工与质量验收规范》CJJ1-200</w:t>
      </w:r>
      <w:r>
        <w:rPr>
          <w:rFonts w:hint="eastAsia" w:ascii="宋体" w:hAnsi="宋体" w:cs="Times New Roman"/>
          <w:kern w:val="2"/>
          <w:sz w:val="21"/>
          <w:szCs w:val="21"/>
          <w:lang w:val="en-US" w:eastAsia="zh-CN" w:bidi="ar-SA"/>
        </w:rPr>
        <w:t>8</w:t>
      </w:r>
      <w:r>
        <w:rPr>
          <w:rFonts w:hint="default" w:ascii="宋体" w:hAnsi="宋体" w:cs="Times New Roman"/>
          <w:kern w:val="2"/>
          <w:sz w:val="21"/>
          <w:szCs w:val="21"/>
          <w:lang w:val="en-US" w:eastAsia="zh-CN" w:bidi="ar-SA"/>
        </w:rPr>
        <w:t>要求执行。</w:t>
      </w:r>
    </w:p>
    <w:p w14:paraId="7CB3A51C">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4.13.2</w:t>
      </w:r>
      <w:r>
        <w:rPr>
          <w:rFonts w:hint="default" w:ascii="宋体" w:hAnsi="宋体" w:cs="Times New Roman"/>
          <w:kern w:val="2"/>
          <w:sz w:val="21"/>
          <w:szCs w:val="21"/>
          <w:lang w:val="en-US" w:eastAsia="zh-CN" w:bidi="ar-SA"/>
        </w:rPr>
        <w:t>道路的施工质量管理与检查验收按现行《城镇道路工程施工与质量验收规范》CJJ1-2008要求执行。</w:t>
      </w:r>
    </w:p>
    <w:p w14:paraId="4C5EAF49">
      <w:pPr>
        <w:autoSpaceDE w:val="0"/>
        <w:autoSpaceDN w:val="0"/>
        <w:adjustRightInd w:val="0"/>
        <w:snapToGrid w:val="0"/>
        <w:spacing w:line="480" w:lineRule="exact"/>
        <w:ind w:firstLine="632" w:firstLineChars="300"/>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w:t>
      </w:r>
      <w:r>
        <w:rPr>
          <w:rFonts w:hint="eastAsia" w:ascii="宋体" w:hAnsi="宋体" w:eastAsia="宋体" w:cs="宋体"/>
          <w:color w:val="000000"/>
          <w:sz w:val="21"/>
          <w:szCs w:val="21"/>
        </w:rPr>
        <w:t>含</w:t>
      </w:r>
      <w:r>
        <w:rPr>
          <w:rFonts w:hint="eastAsia" w:ascii="宋体" w:hAnsi="宋体"/>
          <w:szCs w:val="21"/>
          <w:lang w:eastAsia="zh-CN"/>
        </w:rPr>
        <w:t>水泥稳定碎石</w:t>
      </w:r>
      <w:r>
        <w:rPr>
          <w:rFonts w:hint="eastAsia" w:ascii="宋体" w:hAnsi="宋体"/>
          <w:szCs w:val="21"/>
          <w:lang w:val="en-US" w:eastAsia="zh-CN"/>
        </w:rPr>
        <w:t>摊铺、养护</w:t>
      </w:r>
      <w:r>
        <w:rPr>
          <w:rFonts w:hint="eastAsia" w:ascii="宋体" w:hAnsi="宋体" w:cs="宋体"/>
          <w:color w:val="000000"/>
          <w:sz w:val="21"/>
          <w:szCs w:val="21"/>
          <w:lang w:val="en-US" w:eastAsia="zh-CN"/>
        </w:rPr>
        <w:t>及沥青混凝土摊铺</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包含黏、封、透层）</w:t>
      </w:r>
      <w:r>
        <w:rPr>
          <w:rFonts w:hint="eastAsia" w:ascii="宋体" w:hAnsi="宋体"/>
          <w:szCs w:val="21"/>
          <w:lang w:val="en-US" w:eastAsia="zh-CN"/>
        </w:rPr>
        <w:t>费用</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w:t>
      </w:r>
      <w:r>
        <w:rPr>
          <w:rFonts w:hint="eastAsia" w:ascii="宋体" w:hAnsi="宋体"/>
          <w:szCs w:val="21"/>
          <w:lang w:val="en-US" w:eastAsia="zh-CN"/>
        </w:rPr>
        <w:t>、资质证书（市政公用工程总承包二级及以上）、安全生产许可证影印件加盖公章（复印件）。</w:t>
      </w:r>
    </w:p>
    <w:p w14:paraId="5CBBCCC9">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摊铺期间的全面管理，该现场代表须具有二级以及上（市政专业）注册建造师资格，且具备有效的安全生产考核合格证B证，并提供证书影印件及在投标人单位半年内任意一个月社保。如变更现场代表应事先经甲方书面同意。</w:t>
      </w:r>
    </w:p>
    <w:p w14:paraId="23EF4D6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szCs w:val="21"/>
          <w:lang w:val="en-US" w:eastAsia="zh-CN"/>
        </w:rPr>
      </w:pPr>
      <w:r>
        <w:rPr>
          <w:rFonts w:hint="eastAsia" w:ascii="宋体" w:hAnsi="宋体"/>
          <w:szCs w:val="21"/>
          <w:lang w:val="en-US" w:eastAsia="zh-CN"/>
        </w:rPr>
        <w:t>9、 投</w:t>
      </w:r>
      <w:r>
        <w:rPr>
          <w:rFonts w:hint="eastAsia" w:ascii="宋体" w:hAnsi="宋体" w:cs="Times New Roman"/>
          <w:szCs w:val="21"/>
          <w:lang w:val="en-US" w:eastAsia="zh-CN"/>
        </w:rPr>
        <w:t>标单位须提供自2022年01月01日以来单项合同金额达到240万元及以上的沥青混凝土（含摊铺）、水泥稳定碎石（含摊铺）销售业绩各二份，投标文件中提供合同、发票，复印件加盖投标单位公章。评标委员会会根据投标方提供的发票号码，在国家税务总局全国增值税发票查询平台进行核实，如发现一次虚假将作为废标处理。</w:t>
      </w:r>
    </w:p>
    <w:p w14:paraId="210BB5AB">
      <w:pPr>
        <w:autoSpaceDE w:val="0"/>
        <w:autoSpaceDN w:val="0"/>
        <w:adjustRightInd w:val="0"/>
        <w:snapToGrid w:val="0"/>
        <w:spacing w:line="480" w:lineRule="exact"/>
        <w:ind w:firstLine="561"/>
      </w:pPr>
      <w:r>
        <w:rPr>
          <w:rFonts w:hint="eastAsia" w:ascii="宋体" w:hAnsi="宋体"/>
          <w:szCs w:val="21"/>
          <w:lang w:val="en-US" w:eastAsia="zh-CN"/>
        </w:rPr>
        <w:t>10</w:t>
      </w:r>
      <w:r>
        <w:rPr>
          <w:rFonts w:hint="eastAsia" w:ascii="宋体" w:hAnsi="宋体"/>
          <w:szCs w:val="21"/>
        </w:rPr>
        <w:t>、包装要求：</w:t>
      </w:r>
    </w:p>
    <w:p w14:paraId="38D8D785">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5"/>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0D280FAF">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供货结束经甲方验收合格后</w:t>
      </w:r>
      <w:r>
        <w:rPr>
          <w:rFonts w:hint="eastAsia" w:ascii="宋体" w:hAnsi="宋体"/>
          <w:color w:val="000000"/>
          <w:szCs w:val="21"/>
          <w:lang w:eastAsia="zh-CN"/>
        </w:rPr>
        <w:t>付至实际供货量的40%（不超过合同价的40%），</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70</w:t>
      </w:r>
      <w:r>
        <w:rPr>
          <w:rFonts w:hint="eastAsia" w:ascii="宋体" w:hAnsi="宋体" w:cs="Times New Roman"/>
          <w:color w:val="000000"/>
          <w:szCs w:val="21"/>
        </w:rPr>
        <w:t>%(不超过合同价的</w:t>
      </w:r>
      <w:r>
        <w:rPr>
          <w:rFonts w:hint="eastAsia" w:ascii="宋体" w:hAnsi="宋体" w:cs="Times New Roman"/>
          <w:color w:val="000000"/>
          <w:szCs w:val="21"/>
          <w:lang w:val="en-US" w:eastAsia="zh-CN"/>
        </w:rPr>
        <w:t>7</w:t>
      </w:r>
      <w:r>
        <w:rPr>
          <w:rFonts w:hint="eastAsia" w:ascii="宋体" w:hAnsi="宋体" w:cs="Times New Roman"/>
          <w:color w:val="000000"/>
          <w:szCs w:val="21"/>
        </w:rPr>
        <w:t>0%)</w:t>
      </w:r>
      <w:r>
        <w:rPr>
          <w:rFonts w:hint="eastAsia" w:ascii="宋体" w:hAnsi="宋体"/>
          <w:color w:val="000000"/>
          <w:szCs w:val="21"/>
          <w:lang w:eastAsia="zh-CN"/>
        </w:rPr>
        <w:t>，工程</w:t>
      </w:r>
      <w:r>
        <w:rPr>
          <w:rFonts w:hint="eastAsia" w:ascii="宋体" w:hAnsi="宋体"/>
          <w:color w:val="000000"/>
          <w:szCs w:val="21"/>
        </w:rPr>
        <w:t>审计结束后付至实际供货</w:t>
      </w:r>
      <w:r>
        <w:rPr>
          <w:rFonts w:hint="eastAsia" w:ascii="宋体" w:hAnsi="宋体"/>
          <w:color w:val="000000"/>
          <w:szCs w:val="21"/>
          <w:lang w:val="en-US" w:eastAsia="zh-CN"/>
        </w:rPr>
        <w:t>量</w:t>
      </w:r>
      <w:r>
        <w:rPr>
          <w:rFonts w:hint="eastAsia" w:ascii="宋体" w:hAnsi="宋体"/>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69FDFB1">
      <w:pPr>
        <w:jc w:val="both"/>
        <w:outlineLvl w:val="0"/>
        <w:rPr>
          <w:rFonts w:hint="eastAsia" w:ascii="黑体" w:hAnsi="黑体" w:eastAsia="黑体" w:cs="黑体"/>
          <w:b/>
          <w:sz w:val="72"/>
          <w:szCs w:val="72"/>
          <w:lang w:eastAsia="zh-CN"/>
        </w:rPr>
      </w:pPr>
    </w:p>
    <w:p w14:paraId="352E5570">
      <w:pPr>
        <w:jc w:val="both"/>
        <w:outlineLvl w:val="0"/>
        <w:rPr>
          <w:rFonts w:hint="eastAsia" w:ascii="黑体" w:hAnsi="黑体" w:eastAsia="黑体" w:cs="黑体"/>
          <w:b/>
          <w:sz w:val="72"/>
          <w:szCs w:val="72"/>
          <w:lang w:eastAsia="zh-CN"/>
        </w:rPr>
      </w:pPr>
    </w:p>
    <w:p w14:paraId="0E90830F">
      <w:pPr>
        <w:jc w:val="right"/>
        <w:outlineLvl w:val="0"/>
        <w:rPr>
          <w:rFonts w:hint="eastAsia" w:ascii="黑体" w:hAnsi="黑体" w:eastAsia="黑体" w:cs="黑体"/>
          <w:b/>
          <w:sz w:val="72"/>
          <w:szCs w:val="72"/>
          <w:lang w:eastAsia="zh-CN"/>
        </w:rPr>
      </w:pPr>
    </w:p>
    <w:p w14:paraId="5ACE3665">
      <w:pPr>
        <w:jc w:val="both"/>
        <w:outlineLvl w:val="0"/>
        <w:rPr>
          <w:rFonts w:hint="eastAsia" w:ascii="黑体" w:hAnsi="黑体" w:eastAsia="黑体" w:cs="黑体"/>
          <w:b/>
          <w:sz w:val="72"/>
          <w:szCs w:val="72"/>
          <w:lang w:eastAsia="zh-CN"/>
        </w:rPr>
      </w:pPr>
    </w:p>
    <w:p w14:paraId="51F94687">
      <w:pPr>
        <w:jc w:val="both"/>
        <w:outlineLvl w:val="0"/>
        <w:rPr>
          <w:rFonts w:hint="eastAsia" w:ascii="黑体" w:hAnsi="黑体" w:eastAsia="黑体" w:cs="黑体"/>
          <w:b/>
          <w:sz w:val="72"/>
          <w:szCs w:val="72"/>
          <w:lang w:eastAsia="zh-CN"/>
        </w:rPr>
      </w:pPr>
    </w:p>
    <w:p w14:paraId="1FBD6629">
      <w:pPr>
        <w:jc w:val="both"/>
        <w:outlineLvl w:val="0"/>
        <w:rPr>
          <w:rFonts w:hint="eastAsia" w:ascii="黑体" w:hAnsi="黑体" w:eastAsia="黑体" w:cs="黑体"/>
          <w:b/>
          <w:sz w:val="72"/>
          <w:szCs w:val="72"/>
          <w:lang w:eastAsia="zh-CN"/>
        </w:rPr>
      </w:pPr>
    </w:p>
    <w:p w14:paraId="5E1A3C12">
      <w:pPr>
        <w:jc w:val="both"/>
        <w:outlineLvl w:val="0"/>
        <w:rPr>
          <w:rFonts w:hint="eastAsia" w:ascii="黑体" w:hAnsi="黑体" w:eastAsia="黑体" w:cs="黑体"/>
          <w:b/>
          <w:sz w:val="72"/>
          <w:szCs w:val="72"/>
          <w:lang w:eastAsia="zh-CN"/>
        </w:rPr>
      </w:pPr>
    </w:p>
    <w:p w14:paraId="7C066D92">
      <w:pPr>
        <w:jc w:val="both"/>
        <w:outlineLvl w:val="0"/>
        <w:rPr>
          <w:rFonts w:hint="eastAsia" w:ascii="黑体" w:hAnsi="黑体" w:eastAsia="黑体" w:cs="黑体"/>
          <w:b/>
          <w:sz w:val="72"/>
          <w:szCs w:val="72"/>
          <w:lang w:eastAsia="zh-CN"/>
        </w:rPr>
      </w:pPr>
    </w:p>
    <w:p w14:paraId="1FE69BFB">
      <w:pPr>
        <w:jc w:val="both"/>
        <w:outlineLvl w:val="0"/>
        <w:rPr>
          <w:rFonts w:hint="eastAsia" w:ascii="黑体" w:hAnsi="黑体" w:eastAsia="黑体" w:cs="黑体"/>
          <w:b/>
          <w:sz w:val="72"/>
          <w:szCs w:val="72"/>
          <w:lang w:eastAsia="zh-CN"/>
        </w:rPr>
      </w:pPr>
    </w:p>
    <w:p w14:paraId="2140C862">
      <w:pPr>
        <w:pStyle w:val="2"/>
        <w:rPr>
          <w:rFonts w:hint="eastAsia"/>
          <w:lang w:eastAsia="zh-CN"/>
        </w:rPr>
      </w:pPr>
    </w:p>
    <w:p w14:paraId="11BFB981">
      <w:pPr>
        <w:pStyle w:val="3"/>
        <w:rPr>
          <w:rFonts w:hint="eastAsia"/>
          <w:lang w:eastAsia="zh-CN"/>
        </w:rPr>
      </w:pPr>
    </w:p>
    <w:p w14:paraId="33CCDE0F">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2"/>
        <w:rPr>
          <w:rFonts w:hint="eastAsia"/>
          <w:lang w:eastAsia="zh-CN"/>
        </w:rPr>
      </w:pPr>
    </w:p>
    <w:p w14:paraId="1BF4E008">
      <w:pPr>
        <w:pStyle w:val="3"/>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2"/>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2"/>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5BDFAAC6">
      <w:pPr>
        <w:spacing w:line="720" w:lineRule="exact"/>
        <w:jc w:val="center"/>
        <w:rPr>
          <w:rFonts w:hint="eastAsia" w:ascii="楷体_GB2312" w:eastAsia="楷体_GB2312"/>
          <w:b/>
          <w:color w:val="000000"/>
          <w:sz w:val="30"/>
          <w:lang w:val="en-US" w:eastAsia="zh-CN"/>
        </w:rPr>
      </w:pPr>
    </w:p>
    <w:p w14:paraId="4CB8F4F2">
      <w:pPr>
        <w:spacing w:line="720" w:lineRule="exact"/>
        <w:jc w:val="center"/>
        <w:rPr>
          <w:rFonts w:hint="eastAsia" w:ascii="楷体_GB2312" w:eastAsia="楷体_GB2312"/>
          <w:b/>
          <w:color w:val="000000"/>
          <w:sz w:val="30"/>
          <w:lang w:val="en-US" w:eastAsia="zh-CN"/>
        </w:rPr>
      </w:pPr>
    </w:p>
    <w:p w14:paraId="420215F7">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8"/>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8"/>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8"/>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8"/>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8"/>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w:t>
      </w:r>
      <w:bookmarkStart w:id="2" w:name="_GoBack"/>
      <w:bookmarkEnd w:id="2"/>
      <w:r>
        <w:rPr>
          <w:rFonts w:hint="eastAsia" w:ascii="方正仿宋_GBK" w:hAnsi="方正仿宋_GBK" w:eastAsia="方正仿宋_GBK" w:cs="方正仿宋_GBK"/>
          <w:bCs/>
          <w:color w:val="000000"/>
          <w:sz w:val="24"/>
        </w:rPr>
        <w:t>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46CE459A">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供货结束经甲方验收合格后</w:t>
      </w:r>
      <w:r>
        <w:rPr>
          <w:rFonts w:hint="eastAsia" w:ascii="方正仿宋_GBK" w:hAnsi="方正仿宋_GBK" w:eastAsia="方正仿宋_GBK" w:cs="方正仿宋_GBK"/>
          <w:sz w:val="24"/>
          <w:u w:val="single"/>
          <w:lang w:eastAsia="zh-CN"/>
        </w:rPr>
        <w:t>付至实际供货量的40%（不超过合同价的40%），</w:t>
      </w:r>
      <w:r>
        <w:rPr>
          <w:rFonts w:hint="eastAsia" w:ascii="方正仿宋_GBK" w:hAnsi="方正仿宋_GBK" w:eastAsia="方正仿宋_GBK" w:cs="方正仿宋_GBK"/>
          <w:sz w:val="24"/>
          <w:u w:val="single"/>
        </w:rPr>
        <w:t>工程</w:t>
      </w:r>
      <w:r>
        <w:rPr>
          <w:rFonts w:hint="eastAsia" w:ascii="方正仿宋_GBK" w:hAnsi="方正仿宋_GBK" w:eastAsia="方正仿宋_GBK" w:cs="方正仿宋_GBK"/>
          <w:sz w:val="24"/>
          <w:u w:val="single"/>
          <w:lang w:val="en-US" w:eastAsia="zh-CN"/>
        </w:rPr>
        <w:t>竣工验收合格</w:t>
      </w:r>
      <w:r>
        <w:rPr>
          <w:rFonts w:hint="eastAsia" w:ascii="方正仿宋_GBK" w:hAnsi="方正仿宋_GBK" w:eastAsia="方正仿宋_GBK" w:cs="方正仿宋_GBK"/>
          <w:sz w:val="24"/>
          <w:u w:val="single"/>
        </w:rPr>
        <w:t>后付至实际供货</w:t>
      </w:r>
      <w:r>
        <w:rPr>
          <w:rFonts w:hint="eastAsia" w:ascii="方正仿宋_GBK" w:hAnsi="方正仿宋_GBK" w:eastAsia="方正仿宋_GBK" w:cs="方正仿宋_GBK"/>
          <w:sz w:val="24"/>
          <w:u w:val="single"/>
          <w:lang w:val="en-US" w:eastAsia="zh-CN"/>
        </w:rPr>
        <w:t>量</w:t>
      </w:r>
      <w:r>
        <w:rPr>
          <w:rFonts w:hint="eastAsia" w:ascii="方正仿宋_GBK" w:hAnsi="方正仿宋_GBK" w:eastAsia="方正仿宋_GBK" w:cs="方正仿宋_GBK"/>
          <w:sz w:val="24"/>
          <w:u w:val="single"/>
        </w:rPr>
        <w:t>的</w:t>
      </w:r>
      <w:r>
        <w:rPr>
          <w:rFonts w:hint="eastAsia" w:ascii="方正仿宋_GBK" w:hAnsi="方正仿宋_GBK" w:eastAsia="方正仿宋_GBK" w:cs="方正仿宋_GBK"/>
          <w:sz w:val="24"/>
          <w:u w:val="single"/>
          <w:lang w:val="en-US" w:eastAsia="zh-CN"/>
        </w:rPr>
        <w:t>70</w:t>
      </w:r>
      <w:r>
        <w:rPr>
          <w:rFonts w:hint="eastAsia" w:ascii="方正仿宋_GBK" w:hAnsi="方正仿宋_GBK" w:eastAsia="方正仿宋_GBK" w:cs="方正仿宋_GBK"/>
          <w:sz w:val="24"/>
          <w:u w:val="single"/>
        </w:rPr>
        <w:t>%(不超过合同价的</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w:t>
      </w:r>
      <w:r>
        <w:rPr>
          <w:rFonts w:hint="eastAsia" w:ascii="方正仿宋_GBK" w:hAnsi="方正仿宋_GBK" w:eastAsia="方正仿宋_GBK" w:cs="方正仿宋_GBK"/>
          <w:sz w:val="24"/>
          <w:u w:val="single"/>
          <w:lang w:eastAsia="zh-CN"/>
        </w:rPr>
        <w:t>，工程</w:t>
      </w:r>
      <w:r>
        <w:rPr>
          <w:rFonts w:hint="eastAsia" w:ascii="方正仿宋_GBK" w:hAnsi="方正仿宋_GBK" w:eastAsia="方正仿宋_GBK" w:cs="方正仿宋_GBK"/>
          <w:sz w:val="24"/>
          <w:u w:val="single"/>
        </w:rPr>
        <w:t>审计结束后付至实际供货</w:t>
      </w:r>
      <w:r>
        <w:rPr>
          <w:rFonts w:hint="eastAsia" w:ascii="方正仿宋_GBK" w:hAnsi="方正仿宋_GBK" w:eastAsia="方正仿宋_GBK" w:cs="方正仿宋_GBK"/>
          <w:sz w:val="24"/>
          <w:u w:val="single"/>
          <w:lang w:val="en-US" w:eastAsia="zh-CN"/>
        </w:rPr>
        <w:t>量</w:t>
      </w:r>
      <w:r>
        <w:rPr>
          <w:rFonts w:hint="eastAsia" w:ascii="方正仿宋_GBK" w:hAnsi="方正仿宋_GBK" w:eastAsia="方正仿宋_GBK" w:cs="方正仿宋_GBK"/>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4"/>
        </w:numPr>
        <w:spacing w:line="640" w:lineRule="exact"/>
        <w:ind w:left="0" w:firstLine="480"/>
        <w:rPr>
          <w:rFonts w:ascii="方正仿宋_GBK" w:hAnsi="方正仿宋_GBK" w:eastAsia="方正仿宋_GBK" w:cs="方正仿宋_GBK"/>
          <w:bCs/>
          <w:color w:val="000000"/>
          <w:sz w:val="24"/>
          <w:highlight w:val="none"/>
        </w:rPr>
      </w:pPr>
      <w:r>
        <w:rPr>
          <w:rFonts w:hint="eastAsia" w:ascii="方正仿宋_GBK" w:hAnsi="方正仿宋_GBK" w:eastAsia="方正仿宋_GBK" w:cs="方正仿宋_GBK"/>
          <w:bCs/>
          <w:color w:val="000000"/>
          <w:sz w:val="24"/>
          <w:highlight w:val="none"/>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407"/>
        <w:gridCol w:w="3852"/>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455" w:hRule="atLeast"/>
          <w:jc w:val="center"/>
        </w:trPr>
        <w:tc>
          <w:tcPr>
            <w:tcW w:w="4407"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3852"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60" w:firstLineChars="150"/>
        <w:jc w:val="center"/>
        <w:rPr>
          <w:rFonts w:ascii="方正仿宋_GBK" w:hAnsi="方正仿宋_GBK" w:eastAsia="方正仿宋_GBK" w:cs="方正仿宋_GBK"/>
          <w:szCs w:val="28"/>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FBB2309">
      <w:pPr>
        <w:pStyle w:val="8"/>
        <w:rPr>
          <w:rFonts w:hint="eastAsia"/>
        </w:rPr>
      </w:pPr>
      <w:r>
        <w:rPr>
          <w:rFonts w:hint="eastAsia" w:ascii="方正仿宋_GBK" w:hAnsi="方正仿宋_GBK" w:eastAsia="方正仿宋_GBK" w:cs="方正仿宋_GBK"/>
          <w:sz w:val="24"/>
          <w:lang w:val="en-US" w:eastAsia="zh-CN"/>
        </w:rPr>
        <w:t xml:space="preserve">                            </w:t>
      </w: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75E7A27">
      <w:pPr>
        <w:pStyle w:val="6"/>
        <w:rPr>
          <w:color w:val="000000" w:themeColor="text1"/>
          <w14:textFill>
            <w14:solidFill>
              <w14:schemeClr w14:val="tx1"/>
            </w14:solidFill>
          </w14:textFill>
        </w:rPr>
      </w:pPr>
    </w:p>
    <w:p w14:paraId="5C4586E5">
      <w:pPr>
        <w:pStyle w:val="8"/>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06051"/>
    <w:rsid w:val="05235BBF"/>
    <w:rsid w:val="052E23B4"/>
    <w:rsid w:val="057A6F83"/>
    <w:rsid w:val="07BE00F0"/>
    <w:rsid w:val="084C5688"/>
    <w:rsid w:val="09A23D87"/>
    <w:rsid w:val="0AD772D6"/>
    <w:rsid w:val="0AF31EBD"/>
    <w:rsid w:val="0B0A5387"/>
    <w:rsid w:val="0C006D9B"/>
    <w:rsid w:val="0C4F0756"/>
    <w:rsid w:val="0C61346A"/>
    <w:rsid w:val="0DDA1988"/>
    <w:rsid w:val="0E0D231C"/>
    <w:rsid w:val="0EB63126"/>
    <w:rsid w:val="0EC83D90"/>
    <w:rsid w:val="0F0B0F3A"/>
    <w:rsid w:val="11064046"/>
    <w:rsid w:val="116D31AF"/>
    <w:rsid w:val="12EA5FE1"/>
    <w:rsid w:val="133621CD"/>
    <w:rsid w:val="143037AB"/>
    <w:rsid w:val="144B10A5"/>
    <w:rsid w:val="14B715AB"/>
    <w:rsid w:val="14C9775E"/>
    <w:rsid w:val="15B03AA7"/>
    <w:rsid w:val="18282018"/>
    <w:rsid w:val="18730A0F"/>
    <w:rsid w:val="1A8B791E"/>
    <w:rsid w:val="1B3426D8"/>
    <w:rsid w:val="1BE55780"/>
    <w:rsid w:val="1CE343B6"/>
    <w:rsid w:val="1D524DB7"/>
    <w:rsid w:val="1DF919B7"/>
    <w:rsid w:val="1E4B2C37"/>
    <w:rsid w:val="1E6225BB"/>
    <w:rsid w:val="1E8B445A"/>
    <w:rsid w:val="1EAA6E5D"/>
    <w:rsid w:val="1EB13E67"/>
    <w:rsid w:val="1F053CF4"/>
    <w:rsid w:val="1F6E2E80"/>
    <w:rsid w:val="1F9702A0"/>
    <w:rsid w:val="1FB50614"/>
    <w:rsid w:val="1FBE1700"/>
    <w:rsid w:val="1FC009DE"/>
    <w:rsid w:val="20171A8A"/>
    <w:rsid w:val="203B77C7"/>
    <w:rsid w:val="205256EA"/>
    <w:rsid w:val="20CE260D"/>
    <w:rsid w:val="211F3762"/>
    <w:rsid w:val="21B839B8"/>
    <w:rsid w:val="23E108F9"/>
    <w:rsid w:val="2471436B"/>
    <w:rsid w:val="24BA506C"/>
    <w:rsid w:val="258926D5"/>
    <w:rsid w:val="260C121F"/>
    <w:rsid w:val="26212F31"/>
    <w:rsid w:val="26FE5E6C"/>
    <w:rsid w:val="270F0726"/>
    <w:rsid w:val="27AB5E22"/>
    <w:rsid w:val="288A0076"/>
    <w:rsid w:val="295B2FC3"/>
    <w:rsid w:val="29921E65"/>
    <w:rsid w:val="2B1240B8"/>
    <w:rsid w:val="2B215971"/>
    <w:rsid w:val="2B4431B2"/>
    <w:rsid w:val="2C014021"/>
    <w:rsid w:val="2CA37518"/>
    <w:rsid w:val="2CEE0548"/>
    <w:rsid w:val="2D517119"/>
    <w:rsid w:val="2FFE5B53"/>
    <w:rsid w:val="310C243B"/>
    <w:rsid w:val="31176FA8"/>
    <w:rsid w:val="311D4D78"/>
    <w:rsid w:val="31B54E2B"/>
    <w:rsid w:val="31B86380"/>
    <w:rsid w:val="325435ED"/>
    <w:rsid w:val="32CA33D5"/>
    <w:rsid w:val="33573B1D"/>
    <w:rsid w:val="33976056"/>
    <w:rsid w:val="342D28A8"/>
    <w:rsid w:val="35BA7826"/>
    <w:rsid w:val="35DB0C25"/>
    <w:rsid w:val="35E404D1"/>
    <w:rsid w:val="362A03A5"/>
    <w:rsid w:val="36422C24"/>
    <w:rsid w:val="36B406EB"/>
    <w:rsid w:val="36E90B3C"/>
    <w:rsid w:val="37930059"/>
    <w:rsid w:val="37E729D6"/>
    <w:rsid w:val="38741E51"/>
    <w:rsid w:val="3A290AE6"/>
    <w:rsid w:val="3AE423C3"/>
    <w:rsid w:val="3D917E4C"/>
    <w:rsid w:val="3E6B225C"/>
    <w:rsid w:val="3E723CDC"/>
    <w:rsid w:val="3F043BAC"/>
    <w:rsid w:val="3F0A35CC"/>
    <w:rsid w:val="3F500672"/>
    <w:rsid w:val="41423887"/>
    <w:rsid w:val="41445A6A"/>
    <w:rsid w:val="4162324B"/>
    <w:rsid w:val="41FF6CEC"/>
    <w:rsid w:val="422724D3"/>
    <w:rsid w:val="426B4382"/>
    <w:rsid w:val="43AD2714"/>
    <w:rsid w:val="43BC6694"/>
    <w:rsid w:val="446351B5"/>
    <w:rsid w:val="449F5567"/>
    <w:rsid w:val="453F7628"/>
    <w:rsid w:val="45536616"/>
    <w:rsid w:val="45CB44AF"/>
    <w:rsid w:val="46520829"/>
    <w:rsid w:val="46B67B95"/>
    <w:rsid w:val="471827BE"/>
    <w:rsid w:val="47541888"/>
    <w:rsid w:val="47C96FD8"/>
    <w:rsid w:val="480A5391"/>
    <w:rsid w:val="49A76D05"/>
    <w:rsid w:val="49B818C5"/>
    <w:rsid w:val="49C5584E"/>
    <w:rsid w:val="4A7A78BF"/>
    <w:rsid w:val="4A9401EE"/>
    <w:rsid w:val="4AA20B5D"/>
    <w:rsid w:val="4AB969FA"/>
    <w:rsid w:val="4AD23574"/>
    <w:rsid w:val="4AE83AA4"/>
    <w:rsid w:val="4B7029BB"/>
    <w:rsid w:val="4BD572BF"/>
    <w:rsid w:val="4BE37A47"/>
    <w:rsid w:val="4C3558DD"/>
    <w:rsid w:val="4E6C37AE"/>
    <w:rsid w:val="4FAE2790"/>
    <w:rsid w:val="4FE34DE9"/>
    <w:rsid w:val="508E4A21"/>
    <w:rsid w:val="50A30006"/>
    <w:rsid w:val="513F3A5E"/>
    <w:rsid w:val="51AF028D"/>
    <w:rsid w:val="51CC0F3F"/>
    <w:rsid w:val="52CF6EFC"/>
    <w:rsid w:val="53F817ED"/>
    <w:rsid w:val="54347AB4"/>
    <w:rsid w:val="544D0493"/>
    <w:rsid w:val="56A8222D"/>
    <w:rsid w:val="56B42B48"/>
    <w:rsid w:val="57C97AD8"/>
    <w:rsid w:val="58AD4210"/>
    <w:rsid w:val="58D6764A"/>
    <w:rsid w:val="590B3D71"/>
    <w:rsid w:val="59B57910"/>
    <w:rsid w:val="5A50507C"/>
    <w:rsid w:val="5A8F07BB"/>
    <w:rsid w:val="5AAD078A"/>
    <w:rsid w:val="5B060C94"/>
    <w:rsid w:val="5B270D32"/>
    <w:rsid w:val="5B465534"/>
    <w:rsid w:val="5CFA2510"/>
    <w:rsid w:val="5DF748EA"/>
    <w:rsid w:val="605E6E7C"/>
    <w:rsid w:val="60725E3D"/>
    <w:rsid w:val="61587D6F"/>
    <w:rsid w:val="6231258A"/>
    <w:rsid w:val="6274506F"/>
    <w:rsid w:val="632C4D4B"/>
    <w:rsid w:val="646B168F"/>
    <w:rsid w:val="648963F3"/>
    <w:rsid w:val="649368C5"/>
    <w:rsid w:val="65EB0E69"/>
    <w:rsid w:val="665F74AA"/>
    <w:rsid w:val="667C62AE"/>
    <w:rsid w:val="668D2269"/>
    <w:rsid w:val="676F7BC1"/>
    <w:rsid w:val="681C7872"/>
    <w:rsid w:val="684F4402"/>
    <w:rsid w:val="68537464"/>
    <w:rsid w:val="69037F8F"/>
    <w:rsid w:val="6CEF0BB5"/>
    <w:rsid w:val="6D116F45"/>
    <w:rsid w:val="6EE002DE"/>
    <w:rsid w:val="6F21311C"/>
    <w:rsid w:val="6FE3479B"/>
    <w:rsid w:val="700370F8"/>
    <w:rsid w:val="70A15996"/>
    <w:rsid w:val="70C1323B"/>
    <w:rsid w:val="71535E5D"/>
    <w:rsid w:val="72B928A1"/>
    <w:rsid w:val="73BC418E"/>
    <w:rsid w:val="74220495"/>
    <w:rsid w:val="7435713D"/>
    <w:rsid w:val="74407DAE"/>
    <w:rsid w:val="74411450"/>
    <w:rsid w:val="75A3688F"/>
    <w:rsid w:val="76206329"/>
    <w:rsid w:val="772D5EA5"/>
    <w:rsid w:val="772E5C36"/>
    <w:rsid w:val="77316C41"/>
    <w:rsid w:val="777B2DED"/>
    <w:rsid w:val="778C2829"/>
    <w:rsid w:val="77B37656"/>
    <w:rsid w:val="77D7083D"/>
    <w:rsid w:val="784E49BF"/>
    <w:rsid w:val="78F4767B"/>
    <w:rsid w:val="79352EE7"/>
    <w:rsid w:val="7A316959"/>
    <w:rsid w:val="7A3A3E54"/>
    <w:rsid w:val="7A6C5310"/>
    <w:rsid w:val="7B646DB9"/>
    <w:rsid w:val="7BB97B8C"/>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autoRedefine/>
    <w:qFormat/>
    <w:uiPriority w:val="0"/>
    <w:pPr>
      <w:jc w:val="left"/>
    </w:pPr>
  </w:style>
  <w:style w:type="paragraph" w:styleId="6">
    <w:name w:val="Body Text"/>
    <w:basedOn w:val="1"/>
    <w:autoRedefine/>
    <w:qFormat/>
    <w:uiPriority w:val="0"/>
    <w:rPr>
      <w:rFonts w:eastAsia="仿宋_GB2312"/>
      <w:sz w:val="30"/>
    </w:rPr>
  </w:style>
  <w:style w:type="paragraph" w:styleId="7">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0"/>
    <w:pPr>
      <w:tabs>
        <w:tab w:val="center" w:pos="4153"/>
        <w:tab w:val="right" w:pos="8306"/>
      </w:tabs>
      <w:snapToGrid w:val="0"/>
      <w:jc w:val="left"/>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autoRedefine/>
    <w:qFormat/>
    <w:uiPriority w:val="0"/>
    <w:rPr>
      <w:kern w:val="2"/>
      <w:sz w:val="18"/>
      <w:szCs w:val="18"/>
    </w:rPr>
  </w:style>
  <w:style w:type="character" w:customStyle="1" w:styleId="22">
    <w:name w:val="页脚 Char"/>
    <w:link w:val="12"/>
    <w:autoRedefine/>
    <w:qFormat/>
    <w:uiPriority w:val="0"/>
    <w:rPr>
      <w:kern w:val="2"/>
      <w:sz w:val="18"/>
      <w:szCs w:val="18"/>
    </w:rPr>
  </w:style>
  <w:style w:type="character" w:customStyle="1" w:styleId="23">
    <w:name w:val="正文文本缩进 Char"/>
    <w:link w:val="7"/>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20"/>
    <w:autoRedefine/>
    <w:qFormat/>
    <w:uiPriority w:val="0"/>
    <w:rPr>
      <w:rFonts w:hint="default" w:ascii="Times New Roman" w:hAnsi="Times New Roman" w:cs="Times New Roman"/>
      <w:color w:val="000000"/>
      <w:sz w:val="21"/>
      <w:szCs w:val="21"/>
      <w:u w:val="none"/>
    </w:rPr>
  </w:style>
  <w:style w:type="character" w:customStyle="1" w:styleId="31">
    <w:name w:val="font01"/>
    <w:basedOn w:val="20"/>
    <w:qFormat/>
    <w:uiPriority w:val="0"/>
    <w:rPr>
      <w:rFonts w:hint="default" w:ascii="Arial" w:hAnsi="Arial" w:cs="Arial"/>
      <w:color w:val="000000"/>
      <w:sz w:val="20"/>
      <w:szCs w:val="20"/>
      <w:u w:val="none"/>
    </w:rPr>
  </w:style>
  <w:style w:type="character" w:customStyle="1" w:styleId="32">
    <w:name w:val="font11"/>
    <w:basedOn w:val="20"/>
    <w:qFormat/>
    <w:uiPriority w:val="0"/>
    <w:rPr>
      <w:rFonts w:hint="eastAsia" w:ascii="宋体" w:hAnsi="宋体" w:eastAsia="宋体" w:cs="宋体"/>
      <w:color w:val="000000"/>
      <w:sz w:val="20"/>
      <w:szCs w:val="20"/>
      <w:u w:val="none"/>
    </w:rPr>
  </w:style>
  <w:style w:type="character" w:customStyle="1" w:styleId="33">
    <w:name w:val="font31"/>
    <w:basedOn w:val="20"/>
    <w:qFormat/>
    <w:uiPriority w:val="0"/>
    <w:rPr>
      <w:rFonts w:hint="default" w:ascii="Arial" w:hAnsi="Arial" w:cs="Arial"/>
      <w:color w:val="000000"/>
      <w:sz w:val="20"/>
      <w:szCs w:val="20"/>
      <w:u w:val="none"/>
    </w:rPr>
  </w:style>
  <w:style w:type="character" w:customStyle="1" w:styleId="34">
    <w:name w:val="font21"/>
    <w:basedOn w:val="20"/>
    <w:qFormat/>
    <w:uiPriority w:val="0"/>
    <w:rPr>
      <w:rFonts w:hint="eastAsia" w:ascii="宋体" w:hAnsi="宋体" w:eastAsia="宋体" w:cs="宋体"/>
      <w:color w:val="000000"/>
      <w:sz w:val="20"/>
      <w:szCs w:val="20"/>
      <w:u w:val="none"/>
    </w:rPr>
  </w:style>
  <w:style w:type="character" w:customStyle="1" w:styleId="35">
    <w:name w:val="font41"/>
    <w:basedOn w:val="20"/>
    <w:qFormat/>
    <w:uiPriority w:val="0"/>
    <w:rPr>
      <w:rFonts w:hint="eastAsia" w:ascii="宋体" w:hAnsi="宋体" w:eastAsia="宋体" w:cs="宋体"/>
      <w:color w:val="000000"/>
      <w:sz w:val="20"/>
      <w:szCs w:val="20"/>
      <w:u w:val="none"/>
    </w:rPr>
  </w:style>
  <w:style w:type="character" w:customStyle="1" w:styleId="36">
    <w:name w:val="font71"/>
    <w:basedOn w:val="20"/>
    <w:qFormat/>
    <w:uiPriority w:val="0"/>
    <w:rPr>
      <w:rFonts w:hint="eastAsia" w:ascii="宋体" w:hAnsi="宋体" w:eastAsia="宋体" w:cs="宋体"/>
      <w:color w:val="000000"/>
      <w:sz w:val="20"/>
      <w:szCs w:val="20"/>
      <w:u w:val="none"/>
    </w:rPr>
  </w:style>
  <w:style w:type="character" w:customStyle="1" w:styleId="37">
    <w:name w:val="font51"/>
    <w:basedOn w:val="20"/>
    <w:qFormat/>
    <w:uiPriority w:val="0"/>
    <w:rPr>
      <w:rFonts w:hint="eastAsia" w:ascii="宋体" w:hAnsi="宋体" w:eastAsia="宋体" w:cs="宋体"/>
      <w:color w:val="000000"/>
      <w:sz w:val="20"/>
      <w:szCs w:val="20"/>
      <w:u w:val="none"/>
    </w:rPr>
  </w:style>
  <w:style w:type="paragraph" w:customStyle="1" w:styleId="38">
    <w:name w:val="Table Text"/>
    <w:basedOn w:val="1"/>
    <w:semiHidden/>
    <w:qFormat/>
    <w:uiPriority w:val="0"/>
    <w:rPr>
      <w:rFonts w:ascii="宋体" w:hAnsi="宋体" w:eastAsia="宋体" w:cs="宋体"/>
      <w:sz w:val="18"/>
      <w:szCs w:val="18"/>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4770</Words>
  <Characters>5217</Characters>
  <Lines>30</Lines>
  <Paragraphs>8</Paragraphs>
  <TotalTime>16</TotalTime>
  <ScaleCrop>false</ScaleCrop>
  <LinksUpToDate>false</LinksUpToDate>
  <CharactersWithSpaces>5622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2025-05-29T07:11:00Z</cp:lastPrinted>
  <dcterms:modified xsi:type="dcterms:W3CDTF">2025-05-29T07:13:28Z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A70479BCB36C46D98977FC9F3D79C20F_13</vt:lpwstr>
  </property>
  <property fmtid="{D5CDD505-2E9C-101B-9397-08002B2CF9AE}" pid="4" name="KSOTemplateDocerSaveRecord">
    <vt:lpwstr>eyJoZGlkIjoiYjEzZTUzZjQ1Zjg1YTM4NTExY2YzM2E3ZWM2M2JhNTYiLCJ1c2VySWQiOiIxNjQ1Mzc3MjM2In0=</vt:lpwstr>
  </property>
</Properties>
</file>