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05224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洁源排水汤汪污水处理厂一期DN900临时管道</w:t>
      </w:r>
      <w:r w:rsidR="00104957">
        <w:rPr>
          <w:rFonts w:ascii="仿宋_GB2312" w:eastAsia="仿宋_GB2312" w:hAnsi="宋体" w:hint="eastAsia"/>
          <w:b/>
          <w:spacing w:val="28"/>
          <w:sz w:val="52"/>
          <w:szCs w:val="48"/>
        </w:rPr>
        <w:t>工程</w:t>
      </w:r>
    </w:p>
    <w:p w:rsidR="009C43C2" w:rsidRPr="00CE030A" w:rsidRDefault="0052392E"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A56B7F">
        <w:rPr>
          <w:rFonts w:ascii="仿宋_GB2312" w:eastAsia="仿宋_GB2312" w:hAnsi="宋体" w:hint="eastAsia"/>
          <w:b/>
          <w:bCs/>
          <w:snapToGrid w:val="0"/>
          <w:color w:val="FF0000"/>
          <w:sz w:val="30"/>
          <w:u w:val="single"/>
        </w:rPr>
        <w:t>5</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A56B7F">
        <w:rPr>
          <w:rFonts w:ascii="仿宋_GB2312" w:eastAsia="仿宋_GB2312" w:hAnsi="宋体" w:hint="eastAsia"/>
          <w:b/>
          <w:bCs/>
          <w:snapToGrid w:val="0"/>
          <w:color w:val="FF0000"/>
          <w:sz w:val="30"/>
          <w:u w:val="single"/>
        </w:rPr>
        <w:t>13</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92E">
            <w:pPr>
              <w:spacing w:line="360" w:lineRule="auto"/>
              <w:rPr>
                <w:rFonts w:ascii="宋体" w:hAnsi="宋体"/>
                <w:szCs w:val="21"/>
              </w:rPr>
            </w:pPr>
            <w:r>
              <w:rPr>
                <w:rFonts w:ascii="宋体" w:hAnsi="宋体" w:hint="eastAsia"/>
                <w:szCs w:val="21"/>
              </w:rPr>
              <w:t>洁源</w:t>
            </w:r>
            <w:r w:rsidR="00A56B7F">
              <w:rPr>
                <w:rFonts w:ascii="宋体" w:hAnsi="宋体" w:hint="eastAsia"/>
                <w:szCs w:val="21"/>
              </w:rPr>
              <w:t>排水汤汪污水厂一期DN900临时管道</w:t>
            </w:r>
            <w:r>
              <w:rPr>
                <w:rFonts w:ascii="宋体" w:hAnsi="宋体" w:hint="eastAsia"/>
                <w:szCs w:val="21"/>
              </w:rPr>
              <w:t>工程材料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A56B7F" w:rsidP="005A370B">
            <w:pPr>
              <w:spacing w:line="380" w:lineRule="exact"/>
            </w:pPr>
            <w:r>
              <w:rPr>
                <w:rFonts w:ascii="宋体" w:hAnsi="宋体" w:hint="eastAsia"/>
                <w:color w:val="FF0000"/>
                <w:szCs w:val="21"/>
              </w:rPr>
              <w:t>钢管、电动阀门</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rsidP="00A56B7F">
            <w:pPr>
              <w:spacing w:line="360" w:lineRule="auto"/>
              <w:rPr>
                <w:rFonts w:ascii="宋体" w:hAnsi="宋体"/>
                <w:szCs w:val="21"/>
              </w:rPr>
            </w:pPr>
            <w:r>
              <w:rPr>
                <w:rFonts w:ascii="宋体" w:hAnsi="宋体" w:hint="eastAsia"/>
                <w:szCs w:val="21"/>
              </w:rPr>
              <w:t>投标让利须为1</w:t>
            </w:r>
            <w:r w:rsidR="00A56B7F">
              <w:rPr>
                <w:rFonts w:ascii="宋体" w:hAnsi="宋体" w:hint="eastAsia"/>
                <w:szCs w:val="21"/>
              </w:rPr>
              <w:t>5</w:t>
            </w:r>
            <w:r>
              <w:rPr>
                <w:rFonts w:ascii="宋体" w:hAnsi="宋体" w:hint="eastAsia"/>
                <w:szCs w:val="21"/>
              </w:rPr>
              <w:t>%及以上</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A56B7F">
            <w:pPr>
              <w:spacing w:line="360" w:lineRule="auto"/>
              <w:rPr>
                <w:rFonts w:ascii="宋体" w:hAnsi="宋体"/>
                <w:szCs w:val="21"/>
              </w:rPr>
            </w:pPr>
            <w:r>
              <w:rPr>
                <w:rFonts w:ascii="宋体" w:hAnsi="宋体"/>
                <w:color w:val="FF0000"/>
                <w:szCs w:val="21"/>
              </w:rPr>
              <w:t>2022年</w:t>
            </w:r>
            <w:r w:rsidR="00A56B7F">
              <w:rPr>
                <w:rFonts w:ascii="宋体" w:hAnsi="宋体" w:hint="eastAsia"/>
                <w:color w:val="FF0000"/>
                <w:szCs w:val="21"/>
              </w:rPr>
              <w:t>5</w:t>
            </w:r>
            <w:r>
              <w:rPr>
                <w:rFonts w:ascii="宋体" w:hAnsi="宋体"/>
                <w:color w:val="FF0000"/>
                <w:szCs w:val="21"/>
              </w:rPr>
              <w:t>月</w:t>
            </w:r>
            <w:r w:rsidR="00A56B7F">
              <w:rPr>
                <w:rFonts w:ascii="宋体" w:hAnsi="宋体" w:hint="eastAsia"/>
                <w:color w:val="FF0000"/>
                <w:szCs w:val="21"/>
              </w:rPr>
              <w:t>13</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sidR="00A56B7F">
              <w:rPr>
                <w:rFonts w:ascii="宋体" w:hAnsi="宋体" w:hint="eastAsia"/>
                <w:color w:val="FF0000"/>
                <w:szCs w:val="21"/>
              </w:rPr>
              <w:t>5</w:t>
            </w:r>
            <w:r w:rsidR="008F6EA5" w:rsidRPr="000A2DBC">
              <w:rPr>
                <w:rFonts w:ascii="宋体" w:hAnsi="宋体" w:hint="eastAsia"/>
                <w:color w:val="FF0000"/>
                <w:szCs w:val="21"/>
              </w:rPr>
              <w:t xml:space="preserve"> 月</w:t>
            </w:r>
            <w:r w:rsidR="00A56B7F">
              <w:rPr>
                <w:rFonts w:ascii="宋体" w:hAnsi="宋体" w:hint="eastAsia"/>
                <w:color w:val="FF0000"/>
                <w:szCs w:val="21"/>
              </w:rPr>
              <w:t>15</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A56B7F">
        <w:rPr>
          <w:rFonts w:ascii="宋体" w:hAnsi="宋体" w:hint="eastAsia"/>
          <w:szCs w:val="21"/>
        </w:rPr>
        <w:t>洁源排水汤汪污水厂一期DN900临时管道工程材料采购</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A56B7F">
        <w:rPr>
          <w:rFonts w:ascii="宋体" w:hAnsi="宋体" w:hint="eastAsia"/>
          <w:szCs w:val="21"/>
        </w:rPr>
        <w:t>投标人须为上善公司协作单位名录库内供应商。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Default="008F6EA5" w:rsidP="003D0EEC">
      <w:pPr>
        <w:ind w:firstLineChars="350" w:firstLine="735"/>
        <w:jc w:val="left"/>
        <w:rPr>
          <w:rFonts w:hint="eastAsia"/>
        </w:rPr>
      </w:pPr>
      <w:r>
        <w:rPr>
          <w:rFonts w:hint="eastAsia"/>
        </w:rPr>
        <w:t>2</w:t>
      </w:r>
      <w:r>
        <w:rPr>
          <w:rFonts w:hint="eastAsia"/>
        </w:rPr>
        <w:t>、</w:t>
      </w:r>
    </w:p>
    <w:tbl>
      <w:tblPr>
        <w:tblStyle w:val="af"/>
        <w:tblW w:w="0" w:type="auto"/>
        <w:tblInd w:w="1260" w:type="dxa"/>
        <w:tblLook w:val="04A0"/>
      </w:tblPr>
      <w:tblGrid>
        <w:gridCol w:w="691"/>
        <w:gridCol w:w="2835"/>
        <w:gridCol w:w="2925"/>
        <w:gridCol w:w="2144"/>
      </w:tblGrid>
      <w:tr w:rsidR="00A56B7F" w:rsidTr="000A6693">
        <w:tc>
          <w:tcPr>
            <w:tcW w:w="691" w:type="dxa"/>
          </w:tcPr>
          <w:p w:rsidR="00A56B7F" w:rsidRDefault="00A56B7F" w:rsidP="00A56B7F">
            <w:pPr>
              <w:pStyle w:val="4"/>
              <w:ind w:leftChars="0" w:left="0"/>
            </w:pPr>
            <w:r>
              <w:t>序号</w:t>
            </w:r>
          </w:p>
        </w:tc>
        <w:tc>
          <w:tcPr>
            <w:tcW w:w="2835" w:type="dxa"/>
          </w:tcPr>
          <w:p w:rsidR="00A56B7F" w:rsidRDefault="00A56B7F" w:rsidP="00A56B7F">
            <w:pPr>
              <w:pStyle w:val="4"/>
              <w:ind w:leftChars="0" w:left="0"/>
            </w:pPr>
            <w:r>
              <w:t>名称</w:t>
            </w:r>
          </w:p>
        </w:tc>
        <w:tc>
          <w:tcPr>
            <w:tcW w:w="2925" w:type="dxa"/>
          </w:tcPr>
          <w:p w:rsidR="00A56B7F" w:rsidRDefault="00A56B7F" w:rsidP="00A56B7F">
            <w:pPr>
              <w:pStyle w:val="4"/>
              <w:ind w:leftChars="0" w:left="0"/>
            </w:pPr>
            <w:r>
              <w:t>规格</w:t>
            </w:r>
          </w:p>
        </w:tc>
        <w:tc>
          <w:tcPr>
            <w:tcW w:w="2144" w:type="dxa"/>
          </w:tcPr>
          <w:p w:rsidR="00A56B7F" w:rsidRDefault="00A56B7F" w:rsidP="00A56B7F">
            <w:pPr>
              <w:pStyle w:val="4"/>
              <w:ind w:leftChars="0" w:left="0"/>
            </w:pPr>
            <w:r>
              <w:t>控制价（含</w:t>
            </w:r>
            <w:r>
              <w:rPr>
                <w:rFonts w:hint="eastAsia"/>
              </w:rPr>
              <w:t>13%</w:t>
            </w:r>
            <w:r>
              <w:t>税价）</w:t>
            </w:r>
          </w:p>
        </w:tc>
      </w:tr>
      <w:tr w:rsidR="00A56B7F" w:rsidTr="000A6693">
        <w:tc>
          <w:tcPr>
            <w:tcW w:w="691" w:type="dxa"/>
          </w:tcPr>
          <w:p w:rsidR="00A56B7F" w:rsidRDefault="00A56B7F" w:rsidP="00A56B7F">
            <w:pPr>
              <w:pStyle w:val="4"/>
              <w:ind w:leftChars="0" w:left="0"/>
            </w:pPr>
            <w:r>
              <w:rPr>
                <w:rFonts w:hint="eastAsia"/>
              </w:rPr>
              <w:t>1</w:t>
            </w:r>
          </w:p>
        </w:tc>
        <w:tc>
          <w:tcPr>
            <w:tcW w:w="2835" w:type="dxa"/>
          </w:tcPr>
          <w:p w:rsidR="00A56B7F" w:rsidRDefault="00A56B7F" w:rsidP="00A56B7F">
            <w:pPr>
              <w:pStyle w:val="4"/>
              <w:ind w:leftChars="0" w:left="0"/>
            </w:pPr>
            <w:r>
              <w:rPr>
                <w:rFonts w:hint="eastAsia"/>
              </w:rPr>
              <w:t>DN900</w:t>
            </w:r>
            <w:r>
              <w:rPr>
                <w:rFonts w:hint="eastAsia"/>
              </w:rPr>
              <w:t>钢管</w:t>
            </w:r>
          </w:p>
        </w:tc>
        <w:tc>
          <w:tcPr>
            <w:tcW w:w="2925" w:type="dxa"/>
          </w:tcPr>
          <w:p w:rsidR="00A56B7F" w:rsidRDefault="00A56B7F" w:rsidP="00A56B7F">
            <w:pPr>
              <w:pStyle w:val="4"/>
              <w:ind w:leftChars="0" w:left="0"/>
            </w:pPr>
            <w:r>
              <w:rPr>
                <w:rFonts w:hint="eastAsia"/>
              </w:rPr>
              <w:t>12mm</w:t>
            </w:r>
          </w:p>
        </w:tc>
        <w:tc>
          <w:tcPr>
            <w:tcW w:w="2144" w:type="dxa"/>
          </w:tcPr>
          <w:p w:rsidR="00A56B7F" w:rsidRDefault="00A56B7F" w:rsidP="00A56B7F">
            <w:pPr>
              <w:pStyle w:val="4"/>
              <w:ind w:leftChars="0" w:left="0"/>
            </w:pPr>
            <w:r>
              <w:rPr>
                <w:rFonts w:hint="eastAsia"/>
              </w:rPr>
              <w:t>1554</w:t>
            </w:r>
            <w:r>
              <w:rPr>
                <w:rFonts w:hint="eastAsia"/>
              </w:rPr>
              <w:t>元</w:t>
            </w:r>
            <w:r>
              <w:rPr>
                <w:rFonts w:hint="eastAsia"/>
              </w:rPr>
              <w:t>/</w:t>
            </w:r>
            <w:r>
              <w:rPr>
                <w:rFonts w:hint="eastAsia"/>
              </w:rPr>
              <w:t>米</w:t>
            </w:r>
          </w:p>
        </w:tc>
      </w:tr>
      <w:tr w:rsidR="00A56B7F" w:rsidTr="000A6693">
        <w:tc>
          <w:tcPr>
            <w:tcW w:w="691" w:type="dxa"/>
          </w:tcPr>
          <w:p w:rsidR="00A56B7F" w:rsidRDefault="00A56B7F" w:rsidP="00A56B7F">
            <w:pPr>
              <w:pStyle w:val="4"/>
              <w:ind w:leftChars="0" w:left="0"/>
            </w:pPr>
            <w:r>
              <w:rPr>
                <w:rFonts w:hint="eastAsia"/>
              </w:rPr>
              <w:t>2</w:t>
            </w:r>
          </w:p>
        </w:tc>
        <w:tc>
          <w:tcPr>
            <w:tcW w:w="2835" w:type="dxa"/>
          </w:tcPr>
          <w:p w:rsidR="00A56B7F" w:rsidRDefault="00A56B7F" w:rsidP="00A56B7F">
            <w:pPr>
              <w:pStyle w:val="4"/>
              <w:ind w:leftChars="0" w:left="0"/>
            </w:pPr>
            <w:r>
              <w:rPr>
                <w:rFonts w:hint="eastAsia"/>
              </w:rPr>
              <w:t>DN800</w:t>
            </w:r>
            <w:r>
              <w:rPr>
                <w:rFonts w:hint="eastAsia"/>
              </w:rPr>
              <w:t>钢管</w:t>
            </w:r>
          </w:p>
        </w:tc>
        <w:tc>
          <w:tcPr>
            <w:tcW w:w="2925" w:type="dxa"/>
          </w:tcPr>
          <w:p w:rsidR="00A56B7F" w:rsidRDefault="00A56B7F" w:rsidP="00A56B7F">
            <w:pPr>
              <w:pStyle w:val="4"/>
              <w:ind w:leftChars="0" w:left="0"/>
            </w:pPr>
            <w:r>
              <w:rPr>
                <w:rFonts w:hint="eastAsia"/>
              </w:rPr>
              <w:t>12mm</w:t>
            </w:r>
          </w:p>
        </w:tc>
        <w:tc>
          <w:tcPr>
            <w:tcW w:w="2144" w:type="dxa"/>
          </w:tcPr>
          <w:p w:rsidR="00A56B7F" w:rsidRDefault="00A56B7F" w:rsidP="00A56B7F">
            <w:pPr>
              <w:pStyle w:val="4"/>
              <w:ind w:leftChars="0" w:left="0"/>
            </w:pPr>
            <w:r>
              <w:rPr>
                <w:rFonts w:hint="eastAsia"/>
              </w:rPr>
              <w:t>1955</w:t>
            </w:r>
            <w:r>
              <w:rPr>
                <w:rFonts w:hint="eastAsia"/>
              </w:rPr>
              <w:t>元</w:t>
            </w:r>
            <w:r>
              <w:rPr>
                <w:rFonts w:hint="eastAsia"/>
              </w:rPr>
              <w:t>/</w:t>
            </w:r>
            <w:r>
              <w:rPr>
                <w:rFonts w:hint="eastAsia"/>
              </w:rPr>
              <w:t>米</w:t>
            </w:r>
          </w:p>
        </w:tc>
      </w:tr>
      <w:tr w:rsidR="00A56B7F" w:rsidTr="000A6693">
        <w:tc>
          <w:tcPr>
            <w:tcW w:w="691" w:type="dxa"/>
          </w:tcPr>
          <w:p w:rsidR="00A56B7F" w:rsidRDefault="00A56B7F" w:rsidP="00A56B7F">
            <w:pPr>
              <w:pStyle w:val="4"/>
              <w:ind w:leftChars="0" w:left="0"/>
            </w:pPr>
            <w:r>
              <w:rPr>
                <w:rFonts w:hint="eastAsia"/>
              </w:rPr>
              <w:t>3</w:t>
            </w:r>
          </w:p>
        </w:tc>
        <w:tc>
          <w:tcPr>
            <w:tcW w:w="2835" w:type="dxa"/>
          </w:tcPr>
          <w:p w:rsidR="00A56B7F" w:rsidRDefault="00A56B7F" w:rsidP="00A56B7F">
            <w:pPr>
              <w:pStyle w:val="4"/>
              <w:ind w:leftChars="0" w:left="0"/>
            </w:pPr>
            <w:r>
              <w:rPr>
                <w:rFonts w:hint="eastAsia"/>
              </w:rPr>
              <w:t>DN800</w:t>
            </w:r>
            <w:r>
              <w:rPr>
                <w:rFonts w:hint="eastAsia"/>
              </w:rPr>
              <w:t>电动蝶阀</w:t>
            </w:r>
          </w:p>
        </w:tc>
        <w:tc>
          <w:tcPr>
            <w:tcW w:w="2925" w:type="dxa"/>
          </w:tcPr>
          <w:p w:rsidR="00A56B7F" w:rsidRDefault="00A56B7F" w:rsidP="00A56B7F">
            <w:pPr>
              <w:pStyle w:val="4"/>
              <w:ind w:leftChars="0" w:left="0"/>
            </w:pPr>
          </w:p>
        </w:tc>
        <w:tc>
          <w:tcPr>
            <w:tcW w:w="2144" w:type="dxa"/>
          </w:tcPr>
          <w:p w:rsidR="00A56B7F" w:rsidRDefault="00A56B7F" w:rsidP="00A56B7F">
            <w:pPr>
              <w:pStyle w:val="4"/>
              <w:ind w:leftChars="0" w:left="0"/>
            </w:pPr>
            <w:r>
              <w:rPr>
                <w:rFonts w:hint="eastAsia"/>
              </w:rPr>
              <w:t>26570</w:t>
            </w:r>
            <w:r>
              <w:rPr>
                <w:rFonts w:hint="eastAsia"/>
              </w:rPr>
              <w:t>元</w:t>
            </w:r>
            <w:r>
              <w:rPr>
                <w:rFonts w:hint="eastAsia"/>
              </w:rPr>
              <w:t>/</w:t>
            </w:r>
            <w:r>
              <w:rPr>
                <w:rFonts w:hint="eastAsia"/>
              </w:rPr>
              <w:t>只</w:t>
            </w:r>
          </w:p>
        </w:tc>
      </w:tr>
    </w:tbl>
    <w:p w:rsidR="00A56B7F" w:rsidRPr="00A56B7F" w:rsidRDefault="00A56B7F" w:rsidP="00A56B7F">
      <w:pPr>
        <w:pStyle w:val="4"/>
        <w:ind w:left="1260"/>
      </w:pP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CD0D6A">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397FDC" w:rsidP="00397FDC">
      <w:pPr>
        <w:spacing w:line="720" w:lineRule="exact"/>
        <w:jc w:val="center"/>
        <w:rPr>
          <w:rFonts w:ascii="楷体_GB2312" w:eastAsia="楷体_GB2312"/>
          <w:b/>
          <w:color w:val="000000"/>
          <w:sz w:val="30"/>
        </w:rPr>
      </w:pPr>
      <w:r>
        <w:rPr>
          <w:rFonts w:ascii="楷体_GB2312" w:eastAsia="楷体_GB2312" w:hint="eastAsia"/>
          <w:b/>
          <w:color w:val="000000"/>
          <w:sz w:val="30"/>
        </w:rPr>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CD0D6A">
        <w:rPr>
          <w:rFonts w:ascii="宋体" w:hAnsi="宋体" w:hint="eastAsia"/>
          <w:color w:val="FF0000"/>
          <w:sz w:val="24"/>
          <w:u w:val="single"/>
        </w:rPr>
        <w:t xml:space="preserve">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8F6EA5" w:rsidP="00A56B7F">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7E" w:rsidRDefault="003A287E">
      <w:r>
        <w:separator/>
      </w:r>
    </w:p>
  </w:endnote>
  <w:endnote w:type="continuationSeparator" w:id="1">
    <w:p w:rsidR="003A287E" w:rsidRDefault="003A2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D43A4D">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D43A4D">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052249">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7E" w:rsidRDefault="003A287E">
      <w:r>
        <w:separator/>
      </w:r>
    </w:p>
  </w:footnote>
  <w:footnote w:type="continuationSeparator" w:id="1">
    <w:p w:rsidR="003A287E" w:rsidRDefault="003A2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86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46199"/>
    <w:rsid w:val="00052249"/>
    <w:rsid w:val="0006415F"/>
    <w:rsid w:val="000706A2"/>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640</Words>
  <Characters>3649</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17</cp:revision>
  <cp:lastPrinted>2022-05-13T02:15:00Z</cp:lastPrinted>
  <dcterms:created xsi:type="dcterms:W3CDTF">2022-04-27T02:35:00Z</dcterms:created>
  <dcterms:modified xsi:type="dcterms:W3CDTF">2022-05-13T02:24:00Z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