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w:t>
      </w:r>
      <w:r>
        <w:rPr>
          <w:rFonts w:hint="eastAsia" w:ascii="仿宋_GB2312" w:hAnsi="宋体" w:eastAsia="仿宋_GB2312"/>
          <w:b/>
          <w:spacing w:val="28"/>
          <w:sz w:val="52"/>
          <w:szCs w:val="48"/>
          <w:lang w:eastAsia="zh-CN"/>
        </w:rPr>
        <w:t>城建园林景观</w:t>
      </w:r>
      <w:r>
        <w:rPr>
          <w:rFonts w:hint="eastAsia" w:ascii="仿宋_GB2312" w:hAnsi="宋体" w:eastAsia="仿宋_GB2312"/>
          <w:b/>
          <w:spacing w:val="28"/>
          <w:sz w:val="52"/>
          <w:szCs w:val="48"/>
        </w:rPr>
        <w:t>有限公司</w:t>
      </w:r>
    </w:p>
    <w:p>
      <w:pPr>
        <w:pStyle w:val="2"/>
        <w:ind w:left="0" w:leftChars="0"/>
        <w:jc w:val="center"/>
        <w:rPr>
          <w:rFonts w:hint="eastAsia" w:ascii="仿宋_GB2312" w:hAnsi="宋体" w:eastAsia="仿宋_GB2312"/>
          <w:b/>
          <w:spacing w:val="28"/>
          <w:sz w:val="48"/>
          <w:szCs w:val="48"/>
          <w:lang w:val="en-US" w:eastAsia="zh-CN"/>
        </w:rPr>
      </w:pPr>
      <w:r>
        <w:rPr>
          <w:rFonts w:hint="eastAsia" w:ascii="仿宋_GB2312" w:hAnsi="宋体" w:eastAsia="仿宋_GB2312"/>
          <w:b/>
          <w:spacing w:val="28"/>
          <w:sz w:val="48"/>
          <w:szCs w:val="48"/>
        </w:rPr>
        <w:t>GZ168地块房地产项目 -</w:t>
      </w:r>
      <w:r>
        <w:rPr>
          <w:rFonts w:hint="eastAsia" w:ascii="仿宋_GB2312" w:hAnsi="宋体" w:eastAsia="仿宋_GB2312"/>
          <w:b/>
          <w:spacing w:val="28"/>
          <w:sz w:val="48"/>
          <w:szCs w:val="48"/>
          <w:lang w:eastAsia="zh-CN"/>
        </w:rPr>
        <w:t>室外市政</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color w:val="FF0000"/>
          <w:spacing w:val="28"/>
          <w:sz w:val="52"/>
          <w:szCs w:val="48"/>
        </w:rPr>
        <w:t>材料采购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1506" w:firstLineChars="500"/>
        <w:rPr>
          <w:rFonts w:hint="eastAsia" w:ascii="仿宋_GB2312" w:hAnsi="宋体" w:eastAsia="仿宋_GB2312"/>
          <w:b/>
          <w:bCs/>
          <w:snapToGrid w:val="0"/>
          <w:sz w:val="28"/>
          <w:lang w:eastAsia="zh-CN"/>
        </w:rPr>
      </w:pPr>
      <w:r>
        <w:rPr>
          <w:rFonts w:hint="eastAsia" w:ascii="仿宋_GB2312" w:hAnsi="宋体" w:eastAsia="仿宋_GB2312"/>
          <w:b/>
          <w:bCs/>
          <w:snapToGrid w:val="0"/>
          <w:sz w:val="30"/>
        </w:rPr>
        <w:t>招       标      人：扬州</w:t>
      </w:r>
      <w:r>
        <w:rPr>
          <w:rFonts w:hint="eastAsia" w:ascii="仿宋_GB2312" w:hAnsi="宋体" w:eastAsia="仿宋_GB2312"/>
          <w:b/>
          <w:bCs/>
          <w:snapToGrid w:val="0"/>
          <w:sz w:val="30"/>
          <w:lang w:eastAsia="zh-CN"/>
        </w:rPr>
        <w:t>城建园林景观有限公司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w:t>
      </w:r>
      <w:r>
        <w:rPr>
          <w:rFonts w:hint="eastAsia" w:ascii="仿宋_GB2312" w:hAnsi="宋体" w:eastAsia="仿宋_GB2312"/>
          <w:b/>
          <w:bCs/>
          <w:snapToGrid w:val="0"/>
          <w:color w:val="FF0000"/>
          <w:sz w:val="30"/>
          <w:u w:val="single"/>
          <w:lang w:val="en-US" w:eastAsia="zh-CN"/>
        </w:rPr>
        <w:t>3</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9</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15</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spacing w:line="360" w:lineRule="auto"/>
        <w:jc w:val="center"/>
        <w:outlineLvl w:val="0"/>
        <w:rPr>
          <w:rFonts w:ascii="宋体" w:hAnsi="宋体"/>
          <w:b/>
          <w:sz w:val="36"/>
          <w:szCs w:val="36"/>
        </w:rPr>
      </w:pPr>
    </w:p>
    <w:p>
      <w:pPr>
        <w:pStyle w:val="2"/>
        <w:ind w:left="1260"/>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仿宋_GB2312"/>
                <w:sz w:val="24"/>
                <w:lang w:eastAsia="zh-CN"/>
              </w:rPr>
            </w:pPr>
            <w:r>
              <w:rPr>
                <w:rFonts w:hint="eastAsia" w:ascii="仿宋_GB2312" w:hAnsi="宋体" w:eastAsia="仿宋_GB2312"/>
                <w:b/>
                <w:spacing w:val="28"/>
                <w:sz w:val="24"/>
              </w:rPr>
              <w:t>GZ168地块房地产项目-</w:t>
            </w:r>
            <w:r>
              <w:rPr>
                <w:rFonts w:hint="eastAsia" w:ascii="仿宋_GB2312" w:hAnsi="宋体" w:eastAsia="仿宋_GB2312"/>
                <w:b/>
                <w:spacing w:val="28"/>
                <w:sz w:val="24"/>
                <w:lang w:eastAsia="zh-CN"/>
              </w:rPr>
              <w:t>室外市政材料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lang w:eastAsia="zh-CN"/>
              </w:rPr>
              <w:t>库内</w:t>
            </w:r>
            <w:r>
              <w:rPr>
                <w:rFonts w:hint="eastAsia" w:ascii="宋体" w:hAnsi="宋体"/>
                <w:color w:val="FF0000"/>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eastAsia="宋体"/>
                <w:lang w:val="en-US" w:eastAsia="zh-CN"/>
              </w:rPr>
            </w:pPr>
            <w:r>
              <w:rPr>
                <w:rFonts w:hint="eastAsia"/>
                <w:lang w:val="en-US" w:eastAsia="zh-CN"/>
              </w:rPr>
              <w:t>水泥稳定碎石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通知送货后3天之内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3</w:t>
            </w:r>
            <w:r>
              <w:rPr>
                <w:rFonts w:ascii="宋体" w:hAnsi="宋体"/>
                <w:color w:val="FF0000"/>
                <w:szCs w:val="21"/>
              </w:rPr>
              <w:t>年</w:t>
            </w:r>
            <w:r>
              <w:rPr>
                <w:rFonts w:hint="eastAsia" w:ascii="宋体" w:hAnsi="宋体"/>
                <w:color w:val="FF0000"/>
                <w:szCs w:val="21"/>
                <w:lang w:val="en-US" w:eastAsia="zh-CN"/>
              </w:rPr>
              <w:t>9</w:t>
            </w:r>
            <w:r>
              <w:rPr>
                <w:rFonts w:ascii="宋体" w:hAnsi="宋体"/>
                <w:color w:val="FF0000"/>
                <w:szCs w:val="21"/>
              </w:rPr>
              <w:t>月</w:t>
            </w:r>
            <w:r>
              <w:rPr>
                <w:rFonts w:hint="eastAsia" w:ascii="宋体" w:hAnsi="宋体"/>
                <w:color w:val="FF0000"/>
                <w:szCs w:val="21"/>
                <w:lang w:val="en-US" w:eastAsia="zh-CN"/>
              </w:rPr>
              <w:t>15</w:t>
            </w:r>
            <w:r>
              <w:rPr>
                <w:rFonts w:ascii="宋体" w:hAnsi="宋体"/>
                <w:color w:val="FF0000"/>
                <w:szCs w:val="21"/>
              </w:rPr>
              <w:t>日</w:t>
            </w:r>
            <w:r>
              <w:rPr>
                <w:rFonts w:hint="eastAsia" w:ascii="宋体" w:hAnsi="宋体"/>
                <w:color w:val="FF0000"/>
                <w:szCs w:val="21"/>
              </w:rPr>
              <w:t>202</w:t>
            </w:r>
            <w:r>
              <w:rPr>
                <w:rFonts w:hint="eastAsia" w:ascii="宋体" w:hAnsi="宋体"/>
                <w:color w:val="FF0000"/>
                <w:szCs w:val="21"/>
                <w:lang w:val="en-US" w:eastAsia="zh-CN"/>
              </w:rPr>
              <w:t>3</w:t>
            </w:r>
            <w:r>
              <w:rPr>
                <w:rFonts w:hint="eastAsia" w:ascii="宋体" w:hAnsi="宋体"/>
                <w:color w:val="FF0000"/>
                <w:szCs w:val="21"/>
              </w:rPr>
              <w:t>年</w:t>
            </w:r>
            <w:r>
              <w:rPr>
                <w:rFonts w:hint="eastAsia" w:ascii="宋体" w:hAnsi="宋体"/>
                <w:color w:val="FF0000"/>
                <w:szCs w:val="21"/>
                <w:lang w:val="en-US" w:eastAsia="zh-CN"/>
              </w:rPr>
              <w:t>9</w:t>
            </w:r>
            <w:r>
              <w:rPr>
                <w:rFonts w:hint="eastAsia" w:ascii="宋体" w:hAnsi="宋体"/>
                <w:color w:val="FF0000"/>
                <w:szCs w:val="21"/>
              </w:rPr>
              <w:t>月</w:t>
            </w:r>
            <w:r>
              <w:rPr>
                <w:rFonts w:hint="eastAsia" w:ascii="宋体" w:hAnsi="宋体"/>
                <w:color w:val="FF0000"/>
                <w:szCs w:val="21"/>
                <w:lang w:val="en-US" w:eastAsia="zh-CN"/>
              </w:rPr>
              <w:t>18</w:t>
            </w:r>
            <w:r>
              <w:rPr>
                <w:rFonts w:hint="eastAsia" w:ascii="宋体" w:hAnsi="宋体"/>
                <w:color w:val="FF0000"/>
                <w:szCs w:val="21"/>
              </w:rPr>
              <w:t>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szCs w:val="21"/>
                <w:lang w:eastAsia="zh-CN"/>
              </w:rPr>
            </w:pPr>
            <w:r>
              <w:rPr>
                <w:rFonts w:hint="eastAsia" w:ascii="宋体" w:hAnsi="宋体"/>
                <w:szCs w:val="21"/>
                <w:lang w:eastAsia="zh-CN"/>
              </w:rPr>
              <w:t>暂定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宋体" w:hAnsi="宋体"/>
                <w:szCs w:val="21"/>
                <w:lang w:eastAsia="zh-CN"/>
              </w:rPr>
            </w:pPr>
            <w:r>
              <w:rPr>
                <w:rFonts w:hint="eastAsia" w:ascii="宋体" w:hAnsi="宋体"/>
                <w:szCs w:val="21"/>
              </w:rPr>
              <w:t>招标人：扬州</w:t>
            </w:r>
            <w:r>
              <w:rPr>
                <w:rFonts w:hint="eastAsia" w:ascii="宋体" w:hAnsi="宋体"/>
                <w:szCs w:val="21"/>
                <w:lang w:eastAsia="zh-CN"/>
              </w:rPr>
              <w:t>城建园林景观有限公司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olor w:val="FF0000"/>
          <w:szCs w:val="21"/>
        </w:rPr>
        <w:t>GZ168地块房地产项目-</w:t>
      </w:r>
      <w:r>
        <w:rPr>
          <w:rFonts w:hint="eastAsia" w:ascii="宋体" w:hAnsi="宋体"/>
          <w:color w:val="FF0000"/>
          <w:szCs w:val="21"/>
          <w:lang w:eastAsia="zh-CN"/>
        </w:rPr>
        <w:t>室外市政</w:t>
      </w:r>
      <w:r>
        <w:rPr>
          <w:rFonts w:hint="eastAsia" w:ascii="宋体" w:hAnsi="宋体" w:cs="宋体"/>
          <w:kern w:val="0"/>
          <w:szCs w:val="21"/>
        </w:rPr>
        <w:t>工程</w:t>
      </w:r>
      <w:r>
        <w:rPr>
          <w:rFonts w:hint="eastAsia" w:ascii="宋体" w:hAnsi="宋体"/>
          <w:szCs w:val="21"/>
        </w:rPr>
        <w:t>须采购</w:t>
      </w:r>
      <w:r>
        <w:rPr>
          <w:rFonts w:hint="eastAsia" w:ascii="宋体" w:hAnsi="宋体"/>
          <w:color w:val="FF0000"/>
          <w:szCs w:val="21"/>
          <w:lang w:eastAsia="zh-CN"/>
        </w:rPr>
        <w:t>水稳</w:t>
      </w:r>
      <w:r>
        <w:rPr>
          <w:rFonts w:hint="eastAsia" w:ascii="宋体" w:hAnsi="宋体"/>
          <w:szCs w:val="21"/>
        </w:rPr>
        <w:t>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w:t>
      </w:r>
      <w:bookmarkStart w:id="2" w:name="_GoBack"/>
      <w:bookmarkEnd w:id="2"/>
      <w:r>
        <w:rPr>
          <w:rFonts w:hint="eastAsia" w:ascii="宋体" w:hAnsi="宋体"/>
          <w:szCs w:val="21"/>
        </w:rPr>
        <w:t>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4.1投标人须是中华人民共和国境内注册的企业法人，应遵守中国有关的法律、法规，严格执行国家标准；投标人须为扬州市上善建设工程有限公司协作单位库内材料供应商。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10485" w:type="dxa"/>
        <w:tblInd w:w="0" w:type="dxa"/>
        <w:tblLayout w:type="fixed"/>
        <w:tblCellMar>
          <w:top w:w="0" w:type="dxa"/>
          <w:left w:w="108" w:type="dxa"/>
          <w:bottom w:w="0" w:type="dxa"/>
          <w:right w:w="108" w:type="dxa"/>
        </w:tblCellMar>
      </w:tblPr>
      <w:tblGrid>
        <w:gridCol w:w="616"/>
        <w:gridCol w:w="1844"/>
        <w:gridCol w:w="2385"/>
        <w:gridCol w:w="750"/>
        <w:gridCol w:w="1140"/>
        <w:gridCol w:w="1470"/>
        <w:gridCol w:w="1395"/>
        <w:gridCol w:w="885"/>
      </w:tblGrid>
      <w:tr>
        <w:tblPrEx>
          <w:tblCellMar>
            <w:top w:w="0" w:type="dxa"/>
            <w:left w:w="108" w:type="dxa"/>
            <w:bottom w:w="0" w:type="dxa"/>
            <w:right w:w="108" w:type="dxa"/>
          </w:tblCellMar>
        </w:tblPrEx>
        <w:trPr>
          <w:trHeight w:val="72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序号</w:t>
            </w:r>
          </w:p>
        </w:tc>
        <w:tc>
          <w:tcPr>
            <w:tcW w:w="1844"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材料名称</w:t>
            </w:r>
          </w:p>
        </w:tc>
        <w:tc>
          <w:tcPr>
            <w:tcW w:w="23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规格、型号等要求</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单位</w:t>
            </w:r>
          </w:p>
        </w:tc>
        <w:tc>
          <w:tcPr>
            <w:tcW w:w="114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数量</w:t>
            </w:r>
          </w:p>
        </w:tc>
        <w:tc>
          <w:tcPr>
            <w:tcW w:w="147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lang w:eastAsia="zh-CN"/>
              </w:rPr>
              <w:t>最高限价</w:t>
            </w:r>
          </w:p>
          <w:p>
            <w:pPr>
              <w:widowControl/>
              <w:jc w:val="center"/>
              <w:rPr>
                <w:rFonts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(元)</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Arial" w:eastAsia="仿宋_GB2312" w:cs="Arial"/>
                <w:kern w:val="0"/>
                <w:sz w:val="20"/>
                <w:szCs w:val="20"/>
                <w:lang w:eastAsia="zh-CN"/>
              </w:rPr>
            </w:pPr>
            <w:r>
              <w:rPr>
                <w:rFonts w:hint="eastAsia" w:ascii="仿宋_GB2312" w:hAnsi="Arial" w:eastAsia="仿宋_GB2312" w:cs="Arial"/>
                <w:kern w:val="0"/>
                <w:sz w:val="20"/>
                <w:szCs w:val="20"/>
                <w:lang w:eastAsia="zh-CN"/>
              </w:rPr>
              <w:t>合价</w:t>
            </w:r>
          </w:p>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（元）</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仿宋_GB2312" w:hAnsi="Arial" w:eastAsia="仿宋_GB2312" w:cs="Arial"/>
                <w:kern w:val="0"/>
                <w:sz w:val="20"/>
                <w:szCs w:val="20"/>
              </w:rPr>
              <w:t>备注</w:t>
            </w:r>
          </w:p>
        </w:tc>
      </w:tr>
      <w:tr>
        <w:tblPrEx>
          <w:tblCellMar>
            <w:top w:w="0" w:type="dxa"/>
            <w:left w:w="108" w:type="dxa"/>
            <w:bottom w:w="0" w:type="dxa"/>
            <w:right w:w="108" w:type="dxa"/>
          </w:tblCellMar>
        </w:tblPrEx>
        <w:trPr>
          <w:trHeight w:val="480"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1</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Arial"/>
                <w:color w:val="000000"/>
                <w:kern w:val="0"/>
                <w:sz w:val="20"/>
                <w:szCs w:val="20"/>
              </w:rPr>
            </w:pPr>
            <w:r>
              <w:rPr>
                <w:rFonts w:hint="eastAsia" w:ascii="宋体" w:hAnsi="宋体" w:cs="宋体"/>
                <w:i w:val="0"/>
                <w:iCs w:val="0"/>
                <w:color w:val="000000"/>
                <w:kern w:val="0"/>
                <w:sz w:val="21"/>
                <w:szCs w:val="21"/>
                <w:u w:val="none"/>
                <w:lang w:val="en-US" w:eastAsia="zh-CN" w:bidi="ar"/>
              </w:rPr>
              <w:t>水泥稳定碎石</w:t>
            </w:r>
          </w:p>
        </w:tc>
        <w:tc>
          <w:tcPr>
            <w:tcW w:w="23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（配合比水泥：碎石=4:100）</w:t>
            </w:r>
          </w:p>
        </w:tc>
        <w:tc>
          <w:tcPr>
            <w:tcW w:w="7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Arial"/>
                <w:color w:val="000000"/>
                <w:kern w:val="0"/>
                <w:sz w:val="20"/>
                <w:szCs w:val="20"/>
                <w:lang w:eastAsia="zh-CN"/>
              </w:rPr>
            </w:pPr>
            <w:r>
              <w:rPr>
                <w:rFonts w:hint="eastAsia" w:ascii="宋体" w:hAnsi="宋体" w:eastAsia="宋体" w:cs="宋体"/>
                <w:i w:val="0"/>
                <w:iCs w:val="0"/>
                <w:color w:val="000000"/>
                <w:kern w:val="0"/>
                <w:sz w:val="21"/>
                <w:szCs w:val="21"/>
                <w:u w:val="none"/>
                <w:lang w:val="en-US" w:eastAsia="zh-CN" w:bidi="ar"/>
              </w:rPr>
              <w:t>t</w:t>
            </w: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3909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Arial"/>
                <w:color w:val="000000"/>
                <w:kern w:val="0"/>
                <w:sz w:val="20"/>
                <w:szCs w:val="20"/>
                <w:lang w:val="en-US" w:eastAsia="zh-CN"/>
              </w:rPr>
            </w:pPr>
            <w:r>
              <w:rPr>
                <w:rFonts w:hint="eastAsia" w:ascii="宋体" w:hAnsi="宋体" w:cs="宋体"/>
                <w:i w:val="0"/>
                <w:iCs w:val="0"/>
                <w:color w:val="000000"/>
                <w:kern w:val="0"/>
                <w:sz w:val="21"/>
                <w:szCs w:val="21"/>
                <w:u w:val="none"/>
                <w:lang w:val="en-US" w:eastAsia="zh-CN" w:bidi="ar"/>
              </w:rPr>
              <w:t>170</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Arial" w:eastAsia="仿宋_GB2312" w:cs="Arial"/>
                <w:kern w:val="0"/>
                <w:sz w:val="20"/>
                <w:szCs w:val="20"/>
                <w:lang w:val="en-US"/>
              </w:rPr>
            </w:pPr>
            <w:r>
              <w:rPr>
                <w:rFonts w:hint="eastAsia" w:ascii="宋体" w:hAnsi="宋体" w:cs="宋体"/>
                <w:i w:val="0"/>
                <w:iCs w:val="0"/>
                <w:color w:val="000000"/>
                <w:kern w:val="0"/>
                <w:sz w:val="21"/>
                <w:szCs w:val="21"/>
                <w:u w:val="none"/>
                <w:lang w:val="en-US" w:eastAsia="zh-CN" w:bidi="ar"/>
              </w:rPr>
              <w:t>664530</w:t>
            </w:r>
          </w:p>
        </w:tc>
        <w:tc>
          <w:tcPr>
            <w:tcW w:w="885" w:type="dxa"/>
            <w:vMerge w:val="restart"/>
            <w:tcBorders>
              <w:top w:val="single" w:color="auto" w:sz="4" w:space="0"/>
              <w:left w:val="nil"/>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宋体" w:hAnsi="宋体" w:eastAsia="宋体" w:cs="宋体"/>
                <w:i w:val="0"/>
                <w:iCs w:val="0"/>
                <w:color w:val="000000"/>
                <w:kern w:val="0"/>
                <w:sz w:val="21"/>
                <w:szCs w:val="21"/>
                <w:u w:val="none"/>
                <w:lang w:val="en-US" w:eastAsia="zh-CN" w:bidi="ar"/>
              </w:rPr>
              <w:t>材料单价含13%税金</w:t>
            </w:r>
          </w:p>
        </w:tc>
      </w:tr>
      <w:tr>
        <w:tblPrEx>
          <w:tblCellMar>
            <w:top w:w="0" w:type="dxa"/>
            <w:left w:w="108" w:type="dxa"/>
            <w:bottom w:w="0" w:type="dxa"/>
            <w:right w:w="108" w:type="dxa"/>
          </w:tblCellMar>
        </w:tblPrEx>
        <w:trPr>
          <w:trHeight w:val="480" w:hRule="atLeast"/>
        </w:trPr>
        <w:tc>
          <w:tcPr>
            <w:tcW w:w="61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3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85" w:type="dxa"/>
            <w:vMerge w:val="continue"/>
            <w:tcBorders>
              <w:left w:val="nil"/>
              <w:right w:val="single" w:color="auto" w:sz="4" w:space="0"/>
            </w:tcBorders>
            <w:shd w:val="clear" w:color="auto" w:fill="auto"/>
            <w:noWrap/>
            <w:vAlign w:val="center"/>
          </w:tcPr>
          <w:p>
            <w:pPr>
              <w:jc w:val="center"/>
              <w:rPr>
                <w:rFonts w:hint="default" w:ascii="仿宋_GB2312" w:hAnsi="Arial" w:eastAsia="仿宋_GB2312" w:cs="Arial"/>
                <w:kern w:val="0"/>
                <w:sz w:val="20"/>
                <w:szCs w:val="20"/>
                <w:lang w:val="en-US"/>
              </w:rPr>
            </w:pPr>
          </w:p>
        </w:tc>
      </w:tr>
      <w:tr>
        <w:tblPrEx>
          <w:tblCellMar>
            <w:top w:w="0" w:type="dxa"/>
            <w:left w:w="108" w:type="dxa"/>
            <w:bottom w:w="0" w:type="dxa"/>
            <w:right w:w="108" w:type="dxa"/>
          </w:tblCellMar>
        </w:tblPrEx>
        <w:trPr>
          <w:trHeight w:val="468"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8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rPr>
              <w:t>　</w:t>
            </w:r>
            <w:r>
              <w:rPr>
                <w:rFonts w:hint="eastAsia" w:ascii="宋体" w:hAnsi="宋体" w:eastAsia="宋体" w:cs="宋体"/>
                <w:i w:val="0"/>
                <w:iCs w:val="0"/>
                <w:color w:val="000000"/>
                <w:kern w:val="0"/>
                <w:sz w:val="21"/>
                <w:szCs w:val="21"/>
                <w:u w:val="none"/>
                <w:lang w:val="en-US" w:eastAsia="zh-CN" w:bidi="ar"/>
              </w:rPr>
              <w:t>合计</w:t>
            </w:r>
          </w:p>
        </w:tc>
        <w:tc>
          <w:tcPr>
            <w:tcW w:w="23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Arial" w:eastAsia="仿宋_GB2312" w:cs="Arial"/>
                <w:kern w:val="0"/>
                <w:sz w:val="32"/>
                <w:szCs w:val="32"/>
              </w:rPr>
            </w:pP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Arial" w:eastAsia="仿宋_GB2312" w:cs="Arial"/>
                <w:kern w:val="0"/>
                <w:sz w:val="32"/>
                <w:szCs w:val="32"/>
              </w:rPr>
            </w:pPr>
            <w:r>
              <w:rPr>
                <w:rFonts w:hint="eastAsia" w:ascii="仿宋_GB2312" w:hAnsi="Arial" w:eastAsia="仿宋_GB2312" w:cs="Arial"/>
                <w:kern w:val="0"/>
                <w:sz w:val="32"/>
                <w:szCs w:val="32"/>
              </w:rPr>
              <w:t>　</w:t>
            </w:r>
          </w:p>
        </w:tc>
        <w:tc>
          <w:tcPr>
            <w:tcW w:w="139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r>
              <w:rPr>
                <w:rFonts w:hint="eastAsia" w:ascii="宋体" w:hAnsi="宋体" w:cs="宋体"/>
                <w:b/>
                <w:bCs/>
                <w:i w:val="0"/>
                <w:iCs w:val="0"/>
                <w:color w:val="000000"/>
                <w:kern w:val="0"/>
                <w:sz w:val="21"/>
                <w:szCs w:val="21"/>
                <w:u w:val="none"/>
                <w:lang w:val="en-US" w:eastAsia="zh-CN" w:bidi="ar"/>
              </w:rPr>
              <w:t>664530</w:t>
            </w:r>
            <w:r>
              <w:rPr>
                <w:rFonts w:hint="eastAsia" w:ascii="仿宋_GB2312" w:hAnsi="Arial" w:eastAsia="仿宋_GB2312" w:cs="Arial"/>
                <w:kern w:val="0"/>
                <w:sz w:val="20"/>
                <w:szCs w:val="20"/>
              </w:rPr>
              <w:t>　</w:t>
            </w:r>
          </w:p>
        </w:tc>
        <w:tc>
          <w:tcPr>
            <w:tcW w:w="885"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Arial" w:eastAsia="仿宋_GB2312" w:cs="Arial"/>
                <w:kern w:val="0"/>
                <w:sz w:val="20"/>
                <w:szCs w:val="20"/>
              </w:rPr>
            </w:pPr>
          </w:p>
        </w:tc>
      </w:tr>
    </w:tbl>
    <w:p/>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3、结算方式：投标材料单价（含税价）*对应材料数量=结算总价（含税）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w:t>
      </w:r>
      <w:r>
        <w:rPr>
          <w:rFonts w:hint="eastAsia" w:ascii="宋体" w:hAnsi="宋体"/>
          <w:szCs w:val="21"/>
          <w:lang w:eastAsia="zh-CN"/>
        </w:rPr>
        <w:t>应根据清单材料名称、数量及规格要求等分别报价（含</w:t>
      </w:r>
      <w:r>
        <w:rPr>
          <w:rFonts w:hint="eastAsia" w:ascii="宋体" w:hAnsi="宋体"/>
          <w:szCs w:val="21"/>
          <w:lang w:val="en-US" w:eastAsia="zh-CN"/>
        </w:rPr>
        <w:t>13%税</w:t>
      </w:r>
      <w:r>
        <w:rPr>
          <w:rFonts w:hint="eastAsia" w:ascii="宋体" w:hAnsi="宋体"/>
          <w:szCs w:val="21"/>
          <w:lang w:eastAsia="zh-CN"/>
        </w:rPr>
        <w:t>），</w:t>
      </w:r>
      <w:r>
        <w:rPr>
          <w:rFonts w:hint="eastAsia" w:ascii="宋体" w:hAnsi="宋体"/>
          <w:szCs w:val="21"/>
          <w:lang w:val="en-US" w:eastAsia="zh-CN"/>
        </w:rPr>
        <w:t>报价含摊铺、养护费用</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pStyle w:val="2"/>
        <w:ind w:left="0" w:leftChars="0" w:firstLine="0" w:firstLineChars="0"/>
        <w:rPr>
          <w:rFonts w:hint="default" w:eastAsia="宋体"/>
          <w:lang w:val="en-US" w:eastAsia="zh-CN"/>
        </w:rPr>
      </w:pPr>
      <w:r>
        <w:rPr>
          <w:rFonts w:hint="eastAsia" w:ascii="宋体" w:hAnsi="宋体"/>
          <w:szCs w:val="21"/>
          <w:lang w:val="en-US" w:eastAsia="zh-CN"/>
        </w:rPr>
        <w:t xml:space="preserve">     </w:t>
      </w:r>
      <w:r>
        <w:rPr>
          <w:rFonts w:hint="eastAsia"/>
          <w:lang w:val="en-US" w:eastAsia="zh-CN"/>
        </w:rPr>
        <w:t xml:space="preserve"> </w:t>
      </w:r>
      <w:r>
        <w:rPr>
          <w:rFonts w:hint="eastAsia" w:ascii="宋体" w:hAnsi="宋体" w:eastAsia="宋体" w:cs="Times New Roman"/>
          <w:kern w:val="2"/>
          <w:sz w:val="21"/>
          <w:szCs w:val="21"/>
          <w:lang w:val="en-US" w:eastAsia="zh-CN" w:bidi="ar-SA"/>
        </w:rPr>
        <w:t>6、</w:t>
      </w:r>
      <w:r>
        <w:rPr>
          <w:rFonts w:hint="eastAsia" w:ascii="宋体" w:hAnsi="宋体" w:cs="Times New Roman"/>
          <w:kern w:val="2"/>
          <w:sz w:val="21"/>
          <w:szCs w:val="21"/>
          <w:lang w:val="en-US" w:eastAsia="zh-CN" w:bidi="ar-SA"/>
        </w:rPr>
        <w:t>提供一般纳税人证明。</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jc w:val="center"/>
        <w:rPr>
          <w:rFonts w:ascii="黑体" w:eastAsia="黑体"/>
          <w:color w:val="000000"/>
          <w:sz w:val="30"/>
        </w:rPr>
      </w:pPr>
    </w:p>
    <w:p>
      <w:pPr>
        <w:pStyle w:val="2"/>
        <w:rPr>
          <w:rFonts w:ascii="黑体" w:eastAsia="黑体"/>
          <w:color w:val="000000"/>
          <w:sz w:val="30"/>
        </w:rPr>
      </w:pPr>
    </w:p>
    <w:p>
      <w:pPr>
        <w:spacing w:line="720" w:lineRule="exact"/>
        <w:jc w:val="both"/>
        <w:rPr>
          <w:rFonts w:hint="eastAsia" w:ascii="楷体_GB2312" w:eastAsia="楷体_GB2312"/>
          <w:b/>
          <w:color w:val="000000"/>
          <w:sz w:val="30"/>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w:t>
      </w:r>
      <w:r>
        <w:rPr>
          <w:rFonts w:hint="eastAsia" w:ascii="宋体" w:hAnsi="宋体" w:eastAsia="楷体_GB2312"/>
          <w:color w:val="000000"/>
          <w:spacing w:val="28"/>
          <w:sz w:val="28"/>
          <w:szCs w:val="28"/>
          <w:lang w:eastAsia="zh-CN"/>
        </w:rPr>
        <w:t>城建园林景观有限公司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240" w:firstLineChars="10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w:t>
      </w:r>
      <w:r>
        <w:rPr>
          <w:rFonts w:hint="eastAsia" w:ascii="宋体" w:hAnsi="宋体" w:eastAsia="楷体_GB2312"/>
          <w:color w:val="000000"/>
          <w:spacing w:val="28"/>
          <w:sz w:val="28"/>
          <w:szCs w:val="28"/>
          <w:lang w:eastAsia="zh-CN"/>
        </w:rPr>
        <w:t>城建园林景观有限公司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126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rPr>
          <w:rFonts w:hint="eastAsia" w:ascii="方正小标宋_GBK" w:hAnsi="宋体" w:eastAsia="方正小标宋_GBK"/>
          <w:b/>
          <w:bCs/>
          <w:color w:val="000000"/>
          <w:sz w:val="72"/>
          <w:szCs w:val="72"/>
        </w:rPr>
      </w:pPr>
    </w:p>
    <w:p>
      <w:pPr>
        <w:spacing w:line="360" w:lineRule="auto"/>
        <w:rPr>
          <w:rFonts w:hint="eastAsia" w:ascii="方正小标宋_GBK" w:hAnsi="宋体" w:eastAsia="方正小标宋_GBK"/>
          <w:b/>
          <w:bCs/>
          <w:color w:val="000000"/>
          <w:sz w:val="72"/>
          <w:szCs w:val="72"/>
        </w:rPr>
      </w:pPr>
    </w:p>
    <w:p>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jc w:val="center"/>
        <w:rPr>
          <w:rFonts w:hint="eastAsia" w:ascii="方正小标宋_GBK" w:hAnsi="宋体" w:eastAsia="方正小标宋_GBK"/>
          <w:b/>
          <w:bCs/>
          <w:color w:val="000000"/>
          <w:sz w:val="36"/>
          <w:szCs w:val="36"/>
          <w:u w:val="single"/>
        </w:rPr>
      </w:pPr>
    </w:p>
    <w:p>
      <w:pPr>
        <w:spacing w:line="360" w:lineRule="auto"/>
        <w:ind w:firstLine="5498" w:firstLineChars="2291"/>
        <w:rPr>
          <w:rFonts w:hint="eastAsia" w:ascii="方正仿宋_GBK" w:hAnsi="方正仿宋_GBK" w:eastAsia="方正仿宋_GBK" w:cs="方正仿宋_GBK"/>
          <w:bCs/>
          <w:color w:val="000000"/>
          <w:sz w:val="24"/>
        </w:rPr>
      </w:pPr>
    </w:p>
    <w:p>
      <w:pPr>
        <w:spacing w:line="360" w:lineRule="auto"/>
        <w:ind w:firstLine="5498" w:firstLineChars="2291"/>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pPr>
        <w:spacing w:line="360" w:lineRule="auto"/>
        <w:jc w:val="center"/>
        <w:rPr>
          <w:rFonts w:hint="eastAsia" w:ascii="方正小标宋_GBK" w:hAnsi="宋体" w:eastAsia="方正小标宋_GBK"/>
          <w:b/>
          <w:bCs/>
          <w:color w:val="000000"/>
          <w:sz w:val="36"/>
          <w:szCs w:val="36"/>
        </w:rPr>
      </w:pPr>
    </w:p>
    <w:p>
      <w:pPr>
        <w:spacing w:line="360" w:lineRule="auto"/>
        <w:rPr>
          <w:rFonts w:hint="eastAsia" w:ascii="方正仿宋_GBK" w:hAnsi="方正仿宋_GBK" w:eastAsia="方正仿宋_GBK" w:cs="方正仿宋_GBK"/>
          <w:b/>
          <w:color w:val="000000"/>
          <w:sz w:val="24"/>
          <w:lang w:eastAsia="zh-CN"/>
        </w:rPr>
      </w:pPr>
      <w:r>
        <w:rPr>
          <w:rFonts w:hint="eastAsia" w:ascii="方正仿宋_GBK" w:hAnsi="方正仿宋_GBK" w:eastAsia="方正仿宋_GBK" w:cs="方正仿宋_GBK"/>
          <w:b/>
          <w:color w:val="000000"/>
          <w:sz w:val="24"/>
        </w:rPr>
        <w:t>甲方（需方）：扬州</w:t>
      </w:r>
      <w:r>
        <w:rPr>
          <w:rFonts w:hint="eastAsia" w:ascii="方正仿宋_GBK" w:hAnsi="方正仿宋_GBK" w:eastAsia="方正仿宋_GBK" w:cs="方正仿宋_GBK"/>
          <w:b/>
          <w:color w:val="000000"/>
          <w:sz w:val="24"/>
          <w:lang w:eastAsia="zh-CN"/>
        </w:rPr>
        <w:t>城建园林景观有限公司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w:t>
      </w:r>
      <w:r>
        <w:rPr>
          <w:rFonts w:hint="eastAsia" w:ascii="方正仿宋_GBK" w:hAnsi="方正仿宋_GBK" w:eastAsia="方正仿宋_GBK" w:cs="方正仿宋_GBK"/>
          <w:color w:val="000000"/>
          <w:sz w:val="24"/>
          <w:lang w:eastAsia="zh-CN"/>
        </w:rPr>
        <w:t>含摊铺、养护费用。</w:t>
      </w:r>
      <w:r>
        <w:rPr>
          <w:rFonts w:hint="eastAsia" w:ascii="方正仿宋_GBK" w:hAnsi="方正仿宋_GBK" w:eastAsia="方正仿宋_GBK" w:cs="方正仿宋_GBK"/>
          <w:color w:val="000000"/>
          <w:sz w:val="24"/>
        </w:rPr>
        <w:t>采用固定单价时，单价不予调整</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pPr>
        <w:autoSpaceDE w:val="0"/>
        <w:autoSpaceDN w:val="0"/>
        <w:adjustRightInd w:val="0"/>
        <w:snapToGrid w:val="0"/>
        <w:spacing w:line="480" w:lineRule="exact"/>
        <w:ind w:firstLine="561"/>
        <w:rPr>
          <w:rFonts w:ascii="宋体" w:hAnsi="宋体"/>
          <w:color w:val="000000"/>
          <w:szCs w:val="21"/>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付款方式：</w:t>
      </w:r>
      <w:r>
        <w:rPr>
          <w:rFonts w:hint="eastAsia" w:ascii="宋体" w:hAnsi="宋体"/>
          <w:color w:val="000000"/>
          <w:szCs w:val="21"/>
          <w:lang w:eastAsia="zh-CN"/>
        </w:rPr>
        <w:t>无预付款，工程完工付至实际供货款的</w:t>
      </w:r>
      <w:r>
        <w:rPr>
          <w:rFonts w:hint="eastAsia" w:ascii="宋体" w:hAnsi="宋体"/>
          <w:color w:val="000000"/>
          <w:szCs w:val="21"/>
          <w:lang w:val="en-US" w:eastAsia="zh-CN"/>
        </w:rPr>
        <w:t>6</w:t>
      </w:r>
      <w:r>
        <w:rPr>
          <w:rFonts w:hint="eastAsia" w:ascii="宋体" w:hAnsi="宋体"/>
          <w:color w:val="000000"/>
          <w:szCs w:val="21"/>
          <w:lang w:eastAsia="zh-CN"/>
        </w:rPr>
        <w:t>0%(不超过合同价的</w:t>
      </w:r>
      <w:r>
        <w:rPr>
          <w:rFonts w:hint="eastAsia" w:ascii="宋体" w:hAnsi="宋体"/>
          <w:color w:val="000000"/>
          <w:szCs w:val="21"/>
          <w:lang w:val="en-US" w:eastAsia="zh-CN"/>
        </w:rPr>
        <w:t>6</w:t>
      </w:r>
      <w:r>
        <w:rPr>
          <w:rFonts w:hint="eastAsia" w:ascii="宋体" w:hAnsi="宋体"/>
          <w:color w:val="000000"/>
          <w:szCs w:val="21"/>
          <w:lang w:eastAsia="zh-CN"/>
        </w:rPr>
        <w:t>0%)，竣工验收合格后付至实际供货款80%，建设单位审计结束后付至实际供货款的97%，两年质保期满后付清尾款（无息）。</w:t>
      </w:r>
    </w:p>
    <w:p>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5"/>
        <w:numPr>
          <w:ilvl w:val="0"/>
          <w:numId w:val="3"/>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pPr>
        <w:spacing w:line="360" w:lineRule="auto"/>
        <w:ind w:firstLine="315" w:firstLineChars="150"/>
        <w:rPr>
          <w:rFonts w:ascii="方正仿宋_GBK" w:hAnsi="方正仿宋_GBK" w:eastAsia="方正仿宋_GBK" w:cs="方正仿宋_GBK"/>
          <w:szCs w:val="28"/>
        </w:rPr>
      </w:pPr>
    </w:p>
    <w:p>
      <w:pPr>
        <w:pStyle w:val="2"/>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pPr>
        <w:rPr>
          <w:rFonts w:hint="eastAsia"/>
        </w:rPr>
      </w:pPr>
    </w:p>
    <w:p>
      <w:pPr>
        <w:pStyle w:val="2"/>
        <w:ind w:left="1260"/>
        <w:rPr>
          <w:rFonts w:hint="eastAsia"/>
        </w:rPr>
      </w:pPr>
    </w:p>
    <w:p>
      <w:pPr>
        <w:rPr>
          <w:rFonts w:hint="eastAsia"/>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1835AE4D-25D6-4492-9C27-4B756CB99E6C}"/>
  </w:font>
  <w:font w:name="方正仿宋_GBK">
    <w:panose1 w:val="02000000000000000000"/>
    <w:charset w:val="86"/>
    <w:family w:val="script"/>
    <w:pitch w:val="default"/>
    <w:sig w:usb0="A00002BF" w:usb1="38CF7CFA" w:usb2="00082016" w:usb3="00000000" w:csb0="00040001" w:csb1="00000000"/>
    <w:embedRegular r:id="rId2" w:fontKey="{6EA53933-3FA9-44F5-9D54-058C801A18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mZlNDcwMjA0NzY1OGJhYjUyMTFhZjAwNzg2MGU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7A6F83"/>
    <w:rsid w:val="09A23D87"/>
    <w:rsid w:val="09F5657D"/>
    <w:rsid w:val="0C006D9B"/>
    <w:rsid w:val="0EE32250"/>
    <w:rsid w:val="12EA5FE1"/>
    <w:rsid w:val="18282018"/>
    <w:rsid w:val="1D524DB7"/>
    <w:rsid w:val="1E4B2C37"/>
    <w:rsid w:val="1E6225BB"/>
    <w:rsid w:val="1E8B445A"/>
    <w:rsid w:val="1EB13E67"/>
    <w:rsid w:val="260C121F"/>
    <w:rsid w:val="270F0726"/>
    <w:rsid w:val="2B4431B2"/>
    <w:rsid w:val="2CA37518"/>
    <w:rsid w:val="2FFE5B53"/>
    <w:rsid w:val="32CA33D5"/>
    <w:rsid w:val="33573B1D"/>
    <w:rsid w:val="33976056"/>
    <w:rsid w:val="35DB0C25"/>
    <w:rsid w:val="36E90B3C"/>
    <w:rsid w:val="41423887"/>
    <w:rsid w:val="43BC6694"/>
    <w:rsid w:val="49B70FFE"/>
    <w:rsid w:val="49B818C5"/>
    <w:rsid w:val="4AD23574"/>
    <w:rsid w:val="4AE83AA4"/>
    <w:rsid w:val="4B7029BB"/>
    <w:rsid w:val="4C3558DD"/>
    <w:rsid w:val="4FE34DE9"/>
    <w:rsid w:val="513F3A5E"/>
    <w:rsid w:val="54347AB4"/>
    <w:rsid w:val="544D0493"/>
    <w:rsid w:val="56A8222D"/>
    <w:rsid w:val="58D6764A"/>
    <w:rsid w:val="59B57910"/>
    <w:rsid w:val="5B270D32"/>
    <w:rsid w:val="5C1B0216"/>
    <w:rsid w:val="619F2D94"/>
    <w:rsid w:val="648963F3"/>
    <w:rsid w:val="65EB0E69"/>
    <w:rsid w:val="68537464"/>
    <w:rsid w:val="69A17B86"/>
    <w:rsid w:val="6D116F45"/>
    <w:rsid w:val="72B928A1"/>
    <w:rsid w:val="7435713D"/>
    <w:rsid w:val="777B2DED"/>
    <w:rsid w:val="778C2829"/>
    <w:rsid w:val="77947C15"/>
    <w:rsid w:val="77951BC3"/>
    <w:rsid w:val="77D7083D"/>
    <w:rsid w:val="78F4767B"/>
    <w:rsid w:val="79C829DD"/>
    <w:rsid w:val="7B646DB9"/>
    <w:rsid w:val="7CCA4BCF"/>
    <w:rsid w:val="7DB6110D"/>
    <w:rsid w:val="7E5111F0"/>
    <w:rsid w:val="7E795A6A"/>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5528</Words>
  <Characters>5664</Characters>
  <Lines>30</Lines>
  <Paragraphs>8</Paragraphs>
  <TotalTime>13</TotalTime>
  <ScaleCrop>false</ScaleCrop>
  <LinksUpToDate>false</LinksUpToDate>
  <CharactersWithSpaces>6397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       、M</cp:lastModifiedBy>
  <cp:lastPrinted>2023-09-15T03:06:00Z</cp:lastPrinted>
  <dcterms:modified xsi:type="dcterms:W3CDTF">2023-09-15T03:06:35Z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3B0A47D4FB6E40B793378071077F4EAB_13</vt:lpwstr>
  </property>
</Properties>
</file>