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ascii="仿宋_GB2312" w:hAnsi="宋体" w:eastAsia="仿宋_GB2312"/>
          <w:b/>
          <w:color w:val="FF0000"/>
          <w:spacing w:val="28"/>
          <w:sz w:val="52"/>
          <w:szCs w:val="48"/>
        </w:rPr>
      </w:pPr>
      <w:r>
        <w:rPr>
          <w:rFonts w:hint="eastAsia" w:ascii="宋体" w:hAnsi="宋体" w:cs="宋体"/>
          <w:sz w:val="36"/>
          <w:szCs w:val="36"/>
        </w:rPr>
        <w:t>扬州市洁源光伏污水处理厂钢结构防腐及加固工程</w:t>
      </w:r>
    </w:p>
    <w:p>
      <w:pPr>
        <w:pStyle w:val="2"/>
        <w:ind w:left="0" w:leftChars="0"/>
        <w:jc w:val="center"/>
        <w:rPr>
          <w:rFonts w:hint="eastAsia" w:ascii="仿宋_GB2312" w:hAnsi="宋体" w:eastAsia="仿宋_GB2312"/>
          <w:b/>
          <w:spacing w:val="28"/>
          <w:sz w:val="52"/>
          <w:szCs w:val="48"/>
          <w:lang w:eastAsia="zh-CN"/>
        </w:rPr>
      </w:pPr>
      <w:r>
        <w:rPr>
          <w:rFonts w:hint="eastAsia" w:ascii="仿宋_GB2312" w:hAnsi="宋体" w:eastAsia="仿宋_GB2312"/>
          <w:b/>
          <w:color w:val="FF0000"/>
          <w:spacing w:val="28"/>
          <w:sz w:val="52"/>
          <w:szCs w:val="48"/>
        </w:rPr>
        <w:t>材料采购</w:t>
      </w:r>
      <w:r>
        <w:rPr>
          <w:rFonts w:hint="eastAsia" w:ascii="仿宋_GB2312" w:hAnsi="宋体" w:eastAsia="仿宋_GB2312"/>
          <w:b/>
          <w:color w:val="FF0000"/>
          <w:spacing w:val="28"/>
          <w:sz w:val="52"/>
          <w:szCs w:val="48"/>
          <w:lang w:eastAsia="zh-CN"/>
        </w:rPr>
        <w:t>（</w:t>
      </w:r>
      <w:r>
        <w:rPr>
          <w:rFonts w:hint="eastAsia" w:ascii="仿宋_GB2312" w:hAnsi="宋体" w:eastAsia="仿宋_GB2312"/>
          <w:b/>
          <w:color w:val="FF0000"/>
          <w:spacing w:val="28"/>
          <w:sz w:val="52"/>
          <w:szCs w:val="48"/>
          <w:lang w:val="en-US" w:eastAsia="zh-CN"/>
        </w:rPr>
        <w:t>二次</w:t>
      </w:r>
      <w:r>
        <w:rPr>
          <w:rFonts w:hint="eastAsia" w:ascii="仿宋_GB2312" w:hAnsi="宋体" w:eastAsia="仿宋_GB2312"/>
          <w:b/>
          <w:color w:val="FF0000"/>
          <w:spacing w:val="28"/>
          <w:sz w:val="52"/>
          <w:szCs w:val="48"/>
          <w:lang w:eastAsia="zh-CN"/>
        </w:rPr>
        <w:t>）</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2022</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9</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8</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pStyle w:val="2"/>
        <w:ind w:left="1260"/>
      </w:pPr>
    </w:p>
    <w:p/>
    <w:p>
      <w:pPr>
        <w:pStyle w:val="2"/>
        <w:ind w:left="1260"/>
      </w:pPr>
    </w:p>
    <w:p/>
    <w:p>
      <w:pPr>
        <w:pStyle w:val="2"/>
        <w:ind w:left="1260"/>
      </w:pPr>
    </w:p>
    <w:p/>
    <w:p>
      <w:pPr>
        <w:pStyle w:val="2"/>
        <w:ind w:left="1260"/>
      </w:pP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扬州市洁源光伏污水处理厂钢结构防腐及加固工程</w:t>
            </w:r>
            <w:r>
              <w:rPr>
                <w:rFonts w:hint="eastAsia" w:ascii="仿宋_GB2312" w:hAnsi="宋体" w:eastAsia="仿宋_GB2312"/>
                <w:b/>
                <w:spacing w:val="28"/>
                <w:sz w:val="24"/>
              </w:rPr>
              <w:t>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ascii="宋体" w:hAnsi="宋体" w:cs="宋体"/>
                <w:kern w:val="0"/>
                <w:sz w:val="28"/>
                <w:szCs w:val="28"/>
              </w:rPr>
              <w:t>环氧富锌漆、环氧云铁中间漆、氯化橡胶面漆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2022年</w:t>
            </w:r>
            <w:r>
              <w:rPr>
                <w:rFonts w:hint="eastAsia" w:ascii="宋体" w:hAnsi="宋体"/>
                <w:color w:val="FF0000"/>
                <w:szCs w:val="21"/>
                <w:lang w:val="en-US" w:eastAsia="zh-CN"/>
              </w:rPr>
              <w:t>09</w:t>
            </w:r>
            <w:r>
              <w:rPr>
                <w:rFonts w:ascii="宋体" w:hAnsi="宋体"/>
                <w:color w:val="FF0000"/>
                <w:szCs w:val="21"/>
              </w:rPr>
              <w:t>月</w:t>
            </w:r>
            <w:r>
              <w:rPr>
                <w:rFonts w:hint="eastAsia" w:ascii="宋体" w:hAnsi="宋体"/>
                <w:color w:val="FF0000"/>
                <w:szCs w:val="21"/>
                <w:lang w:val="en-US" w:eastAsia="zh-CN"/>
              </w:rPr>
              <w:t>08</w:t>
            </w:r>
            <w:r>
              <w:rPr>
                <w:rFonts w:ascii="宋体" w:hAnsi="宋体"/>
                <w:color w:val="FF0000"/>
                <w:szCs w:val="21"/>
              </w:rPr>
              <w:t>日</w:t>
            </w:r>
            <w:r>
              <w:rPr>
                <w:rFonts w:hint="eastAsia" w:ascii="宋体" w:hAnsi="宋体"/>
                <w:color w:val="FF0000"/>
                <w:szCs w:val="21"/>
              </w:rPr>
              <w:t>2022年</w:t>
            </w:r>
            <w:r>
              <w:rPr>
                <w:rFonts w:hint="eastAsia" w:ascii="宋体" w:hAnsi="宋体"/>
                <w:color w:val="FF0000"/>
                <w:szCs w:val="21"/>
                <w:lang w:val="en-US" w:eastAsia="zh-CN"/>
              </w:rPr>
              <w:t>0</w:t>
            </w:r>
            <w:r>
              <w:rPr>
                <w:rFonts w:ascii="宋体" w:hAnsi="宋体"/>
                <w:color w:val="FF0000"/>
                <w:szCs w:val="21"/>
              </w:rPr>
              <w:t>9</w:t>
            </w:r>
            <w:r>
              <w:rPr>
                <w:rFonts w:hint="eastAsia" w:ascii="宋体" w:hAnsi="宋体"/>
                <w:color w:val="FF0000"/>
                <w:szCs w:val="21"/>
              </w:rPr>
              <w:t>月</w:t>
            </w:r>
            <w:r>
              <w:rPr>
                <w:rFonts w:hint="eastAsia" w:ascii="宋体" w:hAnsi="宋体"/>
                <w:color w:val="FF0000"/>
                <w:szCs w:val="21"/>
                <w:lang w:val="en-US" w:eastAsia="zh-CN"/>
              </w:rPr>
              <w:t>12</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 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val="en-US" w:eastAsia="zh-CN"/>
              </w:rPr>
              <w:t>另行通知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s="宋体"/>
          <w:sz w:val="24"/>
        </w:rPr>
        <w:t>扬州市洁源光伏污水处理厂钢结构防腐及加固工程</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0" w:type="auto"/>
        <w:tblInd w:w="-30" w:type="dxa"/>
        <w:tblLayout w:type="fixed"/>
        <w:tblCellMar>
          <w:top w:w="0" w:type="dxa"/>
          <w:left w:w="108" w:type="dxa"/>
          <w:bottom w:w="0" w:type="dxa"/>
          <w:right w:w="108" w:type="dxa"/>
        </w:tblCellMar>
      </w:tblPr>
      <w:tblGrid>
        <w:gridCol w:w="749"/>
        <w:gridCol w:w="1814"/>
        <w:gridCol w:w="1704"/>
        <w:gridCol w:w="749"/>
        <w:gridCol w:w="761"/>
        <w:gridCol w:w="1029"/>
        <w:gridCol w:w="1277"/>
        <w:gridCol w:w="1056"/>
      </w:tblGrid>
      <w:tr>
        <w:tblPrEx>
          <w:tblCellMar>
            <w:top w:w="0" w:type="dxa"/>
            <w:left w:w="108" w:type="dxa"/>
            <w:bottom w:w="0" w:type="dxa"/>
            <w:right w:w="108" w:type="dxa"/>
          </w:tblCellMar>
        </w:tblPrEx>
        <w:trPr>
          <w:trHeight w:val="646" w:hRule="atLeast"/>
        </w:trPr>
        <w:tc>
          <w:tcPr>
            <w:tcW w:w="9139" w:type="dxa"/>
            <w:gridSpan w:val="8"/>
            <w:tcBorders>
              <w:top w:val="nil"/>
              <w:left w:val="nil"/>
              <w:bottom w:val="nil"/>
              <w:right w:val="nil"/>
            </w:tcBorders>
          </w:tcPr>
          <w:p>
            <w:pPr>
              <w:autoSpaceDE w:val="0"/>
              <w:autoSpaceDN w:val="0"/>
              <w:adjustRightInd w:val="0"/>
              <w:jc w:val="center"/>
              <w:rPr>
                <w:rFonts w:ascii="宋体" w:hAnsi="Arial" w:cs="宋体"/>
                <w:b/>
                <w:bCs/>
                <w:color w:val="000000"/>
                <w:kern w:val="0"/>
                <w:sz w:val="44"/>
                <w:szCs w:val="44"/>
              </w:rPr>
            </w:pPr>
            <w:r>
              <w:rPr>
                <w:rFonts w:hint="eastAsia" w:ascii="宋体" w:hAnsi="宋体" w:cs="宋体"/>
                <w:sz w:val="32"/>
                <w:szCs w:val="32"/>
              </w:rPr>
              <w:t>扬州市洁源光伏污水处理厂钢结构防腐及加固工程材料采购</w:t>
            </w:r>
          </w:p>
        </w:tc>
      </w:tr>
      <w:tr>
        <w:tblPrEx>
          <w:tblCellMar>
            <w:top w:w="0" w:type="dxa"/>
            <w:left w:w="108" w:type="dxa"/>
            <w:bottom w:w="0" w:type="dxa"/>
            <w:right w:w="108" w:type="dxa"/>
          </w:tblCellMar>
        </w:tblPrEx>
        <w:trPr>
          <w:trHeight w:val="646" w:hRule="atLeast"/>
        </w:trPr>
        <w:tc>
          <w:tcPr>
            <w:tcW w:w="749" w:type="dxa"/>
            <w:tcBorders>
              <w:top w:val="single" w:color="000000" w:sz="12" w:space="0"/>
              <w:left w:val="single" w:color="000000" w:sz="12"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序号</w:t>
            </w:r>
          </w:p>
        </w:tc>
        <w:tc>
          <w:tcPr>
            <w:tcW w:w="1814"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left"/>
              <w:rPr>
                <w:rFonts w:ascii="黑体" w:hAnsi="Arial" w:eastAsia="黑体" w:cs="黑体"/>
                <w:color w:val="000000"/>
                <w:kern w:val="0"/>
                <w:szCs w:val="21"/>
              </w:rPr>
            </w:pPr>
            <w:r>
              <w:rPr>
                <w:rFonts w:hint="eastAsia" w:ascii="黑体" w:hAnsi="Arial" w:eastAsia="黑体" w:cs="黑体"/>
                <w:color w:val="000000"/>
                <w:kern w:val="0"/>
                <w:szCs w:val="21"/>
              </w:rPr>
              <w:t>材料名称</w:t>
            </w:r>
          </w:p>
        </w:tc>
        <w:tc>
          <w:tcPr>
            <w:tcW w:w="1704"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规格、型号等要求</w:t>
            </w:r>
          </w:p>
        </w:tc>
        <w:tc>
          <w:tcPr>
            <w:tcW w:w="749" w:type="dxa"/>
            <w:tcBorders>
              <w:top w:val="single" w:color="000000"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单位</w:t>
            </w:r>
          </w:p>
        </w:tc>
        <w:tc>
          <w:tcPr>
            <w:tcW w:w="761"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color w:val="000000"/>
                <w:kern w:val="0"/>
                <w:sz w:val="20"/>
                <w:szCs w:val="20"/>
              </w:rPr>
              <w:t>采购数量</w:t>
            </w:r>
          </w:p>
        </w:tc>
        <w:tc>
          <w:tcPr>
            <w:tcW w:w="1029"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color w:val="000000"/>
                <w:kern w:val="0"/>
                <w:sz w:val="20"/>
                <w:szCs w:val="20"/>
              </w:rPr>
              <w:t>不含税招标控制价(元)</w:t>
            </w:r>
          </w:p>
        </w:tc>
        <w:tc>
          <w:tcPr>
            <w:tcW w:w="1277" w:type="dxa"/>
            <w:tcBorders>
              <w:top w:val="single" w:color="000000" w:sz="12" w:space="0"/>
              <w:left w:val="single" w:color="000000" w:sz="6" w:space="0"/>
              <w:bottom w:val="single" w:color="000000" w:sz="6" w:space="0"/>
              <w:right w:val="single" w:color="000000" w:sz="6" w:space="0"/>
            </w:tcBorders>
            <w:shd w:val="solid" w:color="FFFFFF" w:fill="FFFFFF"/>
            <w:vAlign w:val="center"/>
          </w:tcPr>
          <w:p>
            <w:pPr>
              <w:autoSpaceDE w:val="0"/>
              <w:autoSpaceDN w:val="0"/>
              <w:adjustRightInd w:val="0"/>
              <w:jc w:val="center"/>
              <w:rPr>
                <w:rFonts w:ascii="黑体" w:hAnsi="Arial" w:eastAsia="黑体" w:cs="黑体"/>
                <w:color w:val="000000"/>
                <w:kern w:val="0"/>
                <w:szCs w:val="21"/>
              </w:rPr>
            </w:pPr>
            <w:r>
              <w:rPr>
                <w:rFonts w:hint="eastAsia" w:ascii="仿宋_GB2312" w:hAnsi="Arial" w:eastAsia="仿宋_GB2312" w:cs="Arial"/>
                <w:kern w:val="0"/>
                <w:sz w:val="20"/>
                <w:szCs w:val="20"/>
              </w:rPr>
              <w:t>含税投标价（元）</w:t>
            </w:r>
          </w:p>
        </w:tc>
        <w:tc>
          <w:tcPr>
            <w:tcW w:w="1056" w:type="dxa"/>
            <w:tcBorders>
              <w:top w:val="single" w:color="000000" w:sz="12" w:space="0"/>
              <w:left w:val="single" w:color="000000" w:sz="6" w:space="0"/>
              <w:bottom w:val="single" w:color="000000" w:sz="6" w:space="0"/>
              <w:right w:val="single" w:color="000000" w:sz="12" w:space="0"/>
            </w:tcBorders>
            <w:shd w:val="solid" w:color="FFFFFF" w:fill="FFFFFF"/>
          </w:tcPr>
          <w:p>
            <w:pPr>
              <w:autoSpaceDE w:val="0"/>
              <w:autoSpaceDN w:val="0"/>
              <w:adjustRightInd w:val="0"/>
              <w:jc w:val="center"/>
              <w:rPr>
                <w:rFonts w:ascii="黑体" w:hAnsi="Arial" w:eastAsia="黑体" w:cs="黑体"/>
                <w:color w:val="000000"/>
                <w:kern w:val="0"/>
                <w:szCs w:val="21"/>
              </w:rPr>
            </w:pPr>
            <w:r>
              <w:rPr>
                <w:rFonts w:hint="eastAsia" w:ascii="黑体" w:hAnsi="Arial" w:eastAsia="黑体" w:cs="黑体"/>
                <w:color w:val="000000"/>
                <w:kern w:val="0"/>
                <w:szCs w:val="21"/>
              </w:rPr>
              <w:t>税率</w:t>
            </w:r>
            <w:r>
              <w:rPr>
                <w:rFonts w:ascii="黑体" w:hAnsi="Arial" w:eastAsia="黑体" w:cs="黑体"/>
                <w:color w:val="000000"/>
                <w:kern w:val="0"/>
                <w:szCs w:val="21"/>
              </w:rPr>
              <w:br w:type="textWrapping"/>
            </w:r>
          </w:p>
        </w:tc>
      </w:tr>
      <w:tr>
        <w:tblPrEx>
          <w:tblCellMar>
            <w:top w:w="0" w:type="dxa"/>
            <w:left w:w="108" w:type="dxa"/>
            <w:bottom w:w="0" w:type="dxa"/>
            <w:right w:w="108" w:type="dxa"/>
          </w:tblCellMar>
        </w:tblPrEx>
        <w:trPr>
          <w:trHeight w:val="331"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环氧富锌漆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17000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2</w:t>
            </w:r>
            <w:r>
              <w:rPr>
                <w:rFonts w:hint="eastAsia"/>
                <w:color w:val="000000"/>
                <w:szCs w:val="21"/>
              </w:rPr>
              <w:t>0.</w:t>
            </w:r>
            <w:r>
              <w:rPr>
                <w:color w:val="000000"/>
                <w:szCs w:val="21"/>
              </w:rPr>
              <w:t>73</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317"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2</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环氧云铁中间漆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17</w:t>
            </w:r>
            <w:r>
              <w:rPr>
                <w:rFonts w:hint="eastAsia"/>
                <w:color w:val="000000"/>
                <w:szCs w:val="21"/>
              </w:rPr>
              <w:t>.</w:t>
            </w:r>
            <w:r>
              <w:rPr>
                <w:color w:val="000000"/>
                <w:szCs w:val="21"/>
              </w:rPr>
              <w:t>3</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482" w:hRule="atLeast"/>
        </w:trPr>
        <w:tc>
          <w:tcPr>
            <w:tcW w:w="749"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3</w:t>
            </w:r>
          </w:p>
        </w:tc>
        <w:tc>
          <w:tcPr>
            <w:tcW w:w="18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ascii="宋体" w:hAnsi="Arial" w:cs="宋体"/>
                <w:color w:val="000000"/>
                <w:kern w:val="0"/>
                <w:szCs w:val="21"/>
              </w:rPr>
            </w:pPr>
            <w:r>
              <w:rPr>
                <w:rFonts w:hint="eastAsia" w:ascii="宋体" w:hAnsi="宋体" w:cs="宋体"/>
                <w:kern w:val="0"/>
                <w:szCs w:val="21"/>
              </w:rPr>
              <w:t>氯化橡胶面漆</w:t>
            </w:r>
          </w:p>
        </w:tc>
        <w:tc>
          <w:tcPr>
            <w:tcW w:w="1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Kg</w:t>
            </w:r>
          </w:p>
        </w:tc>
        <w:tc>
          <w:tcPr>
            <w:tcW w:w="7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16000</w:t>
            </w: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color w:val="000000"/>
                <w:szCs w:val="21"/>
              </w:rPr>
              <w:t>19</w:t>
            </w:r>
            <w:r>
              <w:rPr>
                <w:rFonts w:hint="eastAsia"/>
                <w:color w:val="000000"/>
                <w:szCs w:val="21"/>
              </w:rPr>
              <w:t>.</w:t>
            </w:r>
            <w:r>
              <w:rPr>
                <w:color w:val="000000"/>
                <w:szCs w:val="21"/>
              </w:rPr>
              <w:t>96</w:t>
            </w:r>
          </w:p>
        </w:tc>
        <w:tc>
          <w:tcPr>
            <w:tcW w:w="105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Arial" w:cs="宋体"/>
                <w:color w:val="000000"/>
                <w:kern w:val="0"/>
                <w:szCs w:val="21"/>
              </w:rPr>
            </w:pPr>
            <w:r>
              <w:rPr>
                <w:rFonts w:hint="eastAsia" w:ascii="黑体" w:hAnsi="Arial" w:eastAsia="黑体" w:cs="黑体"/>
                <w:color w:val="000000"/>
                <w:kern w:val="0"/>
                <w:szCs w:val="21"/>
              </w:rPr>
              <w:t>1</w:t>
            </w:r>
            <w:r>
              <w:rPr>
                <w:rFonts w:ascii="黑体" w:hAnsi="Arial" w:eastAsia="黑体" w:cs="黑体"/>
                <w:color w:val="000000"/>
                <w:kern w:val="0"/>
                <w:szCs w:val="21"/>
              </w:rPr>
              <w:t>3</w:t>
            </w:r>
            <w:r>
              <w:rPr>
                <w:rFonts w:hint="eastAsia" w:ascii="黑体" w:hAnsi="Arial" w:eastAsia="黑体" w:cs="黑体"/>
                <w:color w:val="000000"/>
                <w:kern w:val="0"/>
                <w:szCs w:val="21"/>
              </w:rPr>
              <w:t>%</w:t>
            </w: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hint="eastAsia" w:ascii="宋体" w:hAnsi="Arial" w:cs="宋体"/>
                <w:color w:val="000000"/>
                <w:kern w:val="0"/>
                <w:szCs w:val="21"/>
              </w:rPr>
              <w:t>4</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5</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68"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6</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82"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7</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317" w:hRule="atLeast"/>
        </w:trPr>
        <w:tc>
          <w:tcPr>
            <w:tcW w:w="749" w:type="dxa"/>
            <w:tcBorders>
              <w:top w:val="single" w:color="000000" w:sz="6" w:space="0"/>
              <w:left w:val="single" w:color="000000" w:sz="12"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r>
              <w:rPr>
                <w:rFonts w:ascii="宋体" w:hAnsi="Arial" w:cs="宋体"/>
                <w:color w:val="000000"/>
                <w:kern w:val="0"/>
                <w:szCs w:val="21"/>
              </w:rPr>
              <w:t>8</w:t>
            </w:r>
          </w:p>
        </w:tc>
        <w:tc>
          <w:tcPr>
            <w:tcW w:w="181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170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宋体" w:hAnsi="Arial" w:cs="宋体"/>
                <w:color w:val="000000"/>
                <w:kern w:val="0"/>
                <w:szCs w:val="21"/>
              </w:rPr>
            </w:pPr>
          </w:p>
        </w:tc>
        <w:tc>
          <w:tcPr>
            <w:tcW w:w="7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center"/>
              <w:rPr>
                <w:rFonts w:ascii="宋体" w:hAnsi="Arial" w:cs="宋体"/>
                <w:color w:val="000000"/>
                <w:kern w:val="0"/>
                <w:szCs w:val="21"/>
              </w:rPr>
            </w:pPr>
          </w:p>
        </w:tc>
        <w:tc>
          <w:tcPr>
            <w:tcW w:w="76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29"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right"/>
              <w:rPr>
                <w:rFonts w:ascii="宋体" w:hAnsi="Arial" w:cs="宋体"/>
                <w:color w:val="000000"/>
                <w:kern w:val="0"/>
                <w:szCs w:val="21"/>
              </w:rPr>
            </w:pPr>
          </w:p>
        </w:tc>
        <w:tc>
          <w:tcPr>
            <w:tcW w:w="127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000000" w:sz="6" w:space="0"/>
              <w:left w:val="single" w:color="000000" w:sz="6" w:space="0"/>
              <w:bottom w:val="single" w:color="000000" w:sz="6" w:space="0"/>
              <w:right w:val="single" w:color="000000" w:sz="12" w:space="0"/>
            </w:tcBorders>
          </w:tcPr>
          <w:p>
            <w:pPr>
              <w:autoSpaceDE w:val="0"/>
              <w:autoSpaceDN w:val="0"/>
              <w:adjustRightInd w:val="0"/>
              <w:jc w:val="left"/>
              <w:rPr>
                <w:rFonts w:ascii="宋体" w:hAnsi="Arial" w:cs="宋体"/>
                <w:color w:val="000000"/>
                <w:kern w:val="0"/>
                <w:szCs w:val="21"/>
              </w:rPr>
            </w:pPr>
          </w:p>
        </w:tc>
      </w:tr>
      <w:tr>
        <w:tblPrEx>
          <w:tblCellMar>
            <w:top w:w="0" w:type="dxa"/>
            <w:left w:w="108" w:type="dxa"/>
            <w:bottom w:w="0" w:type="dxa"/>
            <w:right w:w="108" w:type="dxa"/>
          </w:tblCellMar>
        </w:tblPrEx>
        <w:trPr>
          <w:trHeight w:val="427" w:hRule="atLeast"/>
        </w:trPr>
        <w:tc>
          <w:tcPr>
            <w:tcW w:w="6806" w:type="dxa"/>
            <w:gridSpan w:val="6"/>
            <w:tcBorders>
              <w:top w:val="single" w:color="000000" w:sz="6" w:space="0"/>
              <w:left w:val="single" w:color="000000" w:sz="12" w:space="0"/>
              <w:bottom w:val="single" w:color="000000" w:sz="6" w:space="0"/>
              <w:right w:val="single" w:color="auto" w:sz="4" w:space="0"/>
            </w:tcBorders>
          </w:tcPr>
          <w:p>
            <w:pPr>
              <w:tabs>
                <w:tab w:val="left" w:pos="2508"/>
              </w:tabs>
              <w:autoSpaceDE w:val="0"/>
              <w:autoSpaceDN w:val="0"/>
              <w:adjustRightInd w:val="0"/>
              <w:rPr>
                <w:rFonts w:ascii="宋体" w:hAnsi="Arial" w:cs="宋体"/>
                <w:color w:val="000000"/>
                <w:kern w:val="0"/>
                <w:sz w:val="30"/>
                <w:szCs w:val="30"/>
              </w:rPr>
            </w:pPr>
            <w:r>
              <w:rPr>
                <w:rFonts w:ascii="宋体" w:hAnsi="Arial" w:cs="宋体"/>
                <w:color w:val="000000"/>
                <w:kern w:val="0"/>
                <w:szCs w:val="21"/>
              </w:rPr>
              <w:tab/>
            </w:r>
            <w:r>
              <w:rPr>
                <w:rFonts w:hint="eastAsia" w:ascii="宋体" w:hAnsi="Arial" w:cs="宋体"/>
                <w:color w:val="000000"/>
                <w:kern w:val="0"/>
                <w:sz w:val="30"/>
                <w:szCs w:val="30"/>
              </w:rPr>
              <w:t>合计</w:t>
            </w:r>
          </w:p>
        </w:tc>
        <w:tc>
          <w:tcPr>
            <w:tcW w:w="1277"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right"/>
              <w:rPr>
                <w:rFonts w:ascii="宋体" w:hAnsi="Arial" w:cs="宋体"/>
                <w:color w:val="000000"/>
                <w:kern w:val="0"/>
                <w:szCs w:val="21"/>
              </w:rPr>
            </w:pPr>
          </w:p>
        </w:tc>
        <w:tc>
          <w:tcPr>
            <w:tcW w:w="105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Arial" w:cs="宋体"/>
                <w:color w:val="000000"/>
                <w:kern w:val="0"/>
                <w:szCs w:val="21"/>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1、投标单位单价报价。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rPr>
        <w:t>单价</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ind w:left="1260"/>
        <w:rPr>
          <w:rFonts w:ascii="黑体" w:eastAsia="黑体"/>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1.我们愿按照招标文件中的条款、要求，提供所需的招标货物及一切相关的服务，投标材料单价为</w:t>
      </w:r>
      <w:r>
        <w:rPr>
          <w:rFonts w:hint="eastAsia" w:ascii="宋体" w:hAnsi="宋体"/>
          <w:color w:val="000000"/>
          <w:sz w:val="24"/>
          <w:u w:val="single"/>
          <w:lang w:val="en-US" w:eastAsia="zh-CN"/>
        </w:rPr>
        <w:t xml:space="preserve">          </w:t>
      </w:r>
      <w:r>
        <w:rPr>
          <w:rFonts w:hint="eastAsia" w:ascii="宋体" w:hAnsi="宋体"/>
          <w:color w:val="FF0000"/>
          <w:sz w:val="24"/>
          <w:u w:val="single"/>
        </w:rPr>
        <w:t>元</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w:t>
      </w:r>
      <w:bookmarkStart w:id="2" w:name="_GoBack"/>
      <w:bookmarkEnd w:id="2"/>
      <w:r>
        <w:rPr>
          <w:rFonts w:hint="eastAsia" w:ascii="宋体" w:hAnsi="宋体"/>
          <w:color w:val="000000"/>
          <w:sz w:val="24"/>
        </w:rPr>
        <w:t>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2YmZlNDcwMjA0NzY1OGJhYjUyMTFhZjAwNzg2MGUifQ=="/>
  </w:docVars>
  <w:rsids>
    <w:rsidRoot w:val="00224C83"/>
    <w:rsid w:val="00002D23"/>
    <w:rsid w:val="00003464"/>
    <w:rsid w:val="000051D6"/>
    <w:rsid w:val="000057D8"/>
    <w:rsid w:val="00012FD2"/>
    <w:rsid w:val="00022979"/>
    <w:rsid w:val="00026924"/>
    <w:rsid w:val="00034FC0"/>
    <w:rsid w:val="00042AEB"/>
    <w:rsid w:val="000578FA"/>
    <w:rsid w:val="0006415F"/>
    <w:rsid w:val="000706A2"/>
    <w:rsid w:val="00072C87"/>
    <w:rsid w:val="000779A6"/>
    <w:rsid w:val="00080075"/>
    <w:rsid w:val="0008083D"/>
    <w:rsid w:val="00084813"/>
    <w:rsid w:val="00085EA4"/>
    <w:rsid w:val="0009202D"/>
    <w:rsid w:val="00092937"/>
    <w:rsid w:val="000956DB"/>
    <w:rsid w:val="000A2DBC"/>
    <w:rsid w:val="000A791F"/>
    <w:rsid w:val="000B0729"/>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778D4"/>
    <w:rsid w:val="001800C5"/>
    <w:rsid w:val="001809F7"/>
    <w:rsid w:val="0018571B"/>
    <w:rsid w:val="00185A96"/>
    <w:rsid w:val="00185D4F"/>
    <w:rsid w:val="0018749F"/>
    <w:rsid w:val="001961DE"/>
    <w:rsid w:val="001A2036"/>
    <w:rsid w:val="001B1081"/>
    <w:rsid w:val="001B2961"/>
    <w:rsid w:val="001B4E67"/>
    <w:rsid w:val="001B5896"/>
    <w:rsid w:val="001D26BB"/>
    <w:rsid w:val="001D3976"/>
    <w:rsid w:val="001D49E1"/>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684"/>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E72CF"/>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2826"/>
    <w:rsid w:val="003C5D0D"/>
    <w:rsid w:val="003D0EEC"/>
    <w:rsid w:val="003D5D3D"/>
    <w:rsid w:val="003E02DB"/>
    <w:rsid w:val="003E084D"/>
    <w:rsid w:val="003E0F5B"/>
    <w:rsid w:val="003E1346"/>
    <w:rsid w:val="003E173D"/>
    <w:rsid w:val="003E2550"/>
    <w:rsid w:val="003E7A3F"/>
    <w:rsid w:val="003F140C"/>
    <w:rsid w:val="003F3E11"/>
    <w:rsid w:val="003F444D"/>
    <w:rsid w:val="003F5AC4"/>
    <w:rsid w:val="004027EE"/>
    <w:rsid w:val="004031B3"/>
    <w:rsid w:val="00403233"/>
    <w:rsid w:val="004039B6"/>
    <w:rsid w:val="004131C6"/>
    <w:rsid w:val="004174DC"/>
    <w:rsid w:val="00421F8A"/>
    <w:rsid w:val="00426905"/>
    <w:rsid w:val="00436126"/>
    <w:rsid w:val="00441519"/>
    <w:rsid w:val="004426CF"/>
    <w:rsid w:val="004434D1"/>
    <w:rsid w:val="004438EC"/>
    <w:rsid w:val="00443F30"/>
    <w:rsid w:val="004465D6"/>
    <w:rsid w:val="0045063D"/>
    <w:rsid w:val="0045776A"/>
    <w:rsid w:val="00461CEA"/>
    <w:rsid w:val="0046595A"/>
    <w:rsid w:val="00466454"/>
    <w:rsid w:val="00470F90"/>
    <w:rsid w:val="00472054"/>
    <w:rsid w:val="0047436B"/>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441E"/>
    <w:rsid w:val="004D5701"/>
    <w:rsid w:val="004D6DE0"/>
    <w:rsid w:val="004E19D4"/>
    <w:rsid w:val="004E251F"/>
    <w:rsid w:val="004E33FE"/>
    <w:rsid w:val="004F654B"/>
    <w:rsid w:val="004F6706"/>
    <w:rsid w:val="005009C9"/>
    <w:rsid w:val="00501CF0"/>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36B6"/>
    <w:rsid w:val="005650B4"/>
    <w:rsid w:val="00572298"/>
    <w:rsid w:val="00572E84"/>
    <w:rsid w:val="00576980"/>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A68DE"/>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0F14"/>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6FC0"/>
    <w:rsid w:val="008279F7"/>
    <w:rsid w:val="0083280D"/>
    <w:rsid w:val="00833997"/>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144B"/>
    <w:rsid w:val="00894B23"/>
    <w:rsid w:val="008975D9"/>
    <w:rsid w:val="008A1181"/>
    <w:rsid w:val="008A390D"/>
    <w:rsid w:val="008A6F0B"/>
    <w:rsid w:val="008A75B5"/>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14452"/>
    <w:rsid w:val="0092014A"/>
    <w:rsid w:val="00923F35"/>
    <w:rsid w:val="009253C2"/>
    <w:rsid w:val="00925FDE"/>
    <w:rsid w:val="00933368"/>
    <w:rsid w:val="00936F86"/>
    <w:rsid w:val="00940F38"/>
    <w:rsid w:val="009420F8"/>
    <w:rsid w:val="00950DB0"/>
    <w:rsid w:val="009514BF"/>
    <w:rsid w:val="00953B53"/>
    <w:rsid w:val="00954B8E"/>
    <w:rsid w:val="00954FC3"/>
    <w:rsid w:val="009557E6"/>
    <w:rsid w:val="0096066A"/>
    <w:rsid w:val="0096687B"/>
    <w:rsid w:val="00971683"/>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1D7A"/>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6217"/>
    <w:rsid w:val="00B079E1"/>
    <w:rsid w:val="00B12CD3"/>
    <w:rsid w:val="00B131B0"/>
    <w:rsid w:val="00B132CB"/>
    <w:rsid w:val="00B13776"/>
    <w:rsid w:val="00B15CED"/>
    <w:rsid w:val="00B16C58"/>
    <w:rsid w:val="00B233CE"/>
    <w:rsid w:val="00B25A9D"/>
    <w:rsid w:val="00B25D60"/>
    <w:rsid w:val="00B26364"/>
    <w:rsid w:val="00B31D0E"/>
    <w:rsid w:val="00B33092"/>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A50B3"/>
    <w:rsid w:val="00BB108C"/>
    <w:rsid w:val="00BB2A3D"/>
    <w:rsid w:val="00BB3326"/>
    <w:rsid w:val="00BB4D36"/>
    <w:rsid w:val="00BB6623"/>
    <w:rsid w:val="00BB78EA"/>
    <w:rsid w:val="00BC01FD"/>
    <w:rsid w:val="00BC40FE"/>
    <w:rsid w:val="00BD29C0"/>
    <w:rsid w:val="00BD40AF"/>
    <w:rsid w:val="00BD583E"/>
    <w:rsid w:val="00BD6F23"/>
    <w:rsid w:val="00BE0656"/>
    <w:rsid w:val="00BF0102"/>
    <w:rsid w:val="00BF1838"/>
    <w:rsid w:val="00BF3051"/>
    <w:rsid w:val="00BF5899"/>
    <w:rsid w:val="00C018EA"/>
    <w:rsid w:val="00C03D80"/>
    <w:rsid w:val="00C071A1"/>
    <w:rsid w:val="00C115AC"/>
    <w:rsid w:val="00C13342"/>
    <w:rsid w:val="00C14D8E"/>
    <w:rsid w:val="00C167FA"/>
    <w:rsid w:val="00C17220"/>
    <w:rsid w:val="00C2617E"/>
    <w:rsid w:val="00C34133"/>
    <w:rsid w:val="00C34609"/>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3427"/>
    <w:rsid w:val="00C7527D"/>
    <w:rsid w:val="00C775B2"/>
    <w:rsid w:val="00C77667"/>
    <w:rsid w:val="00C779A7"/>
    <w:rsid w:val="00C94EAB"/>
    <w:rsid w:val="00C96873"/>
    <w:rsid w:val="00CA0DC6"/>
    <w:rsid w:val="00CA2188"/>
    <w:rsid w:val="00CA3217"/>
    <w:rsid w:val="00CA46D4"/>
    <w:rsid w:val="00CA7803"/>
    <w:rsid w:val="00CA79B9"/>
    <w:rsid w:val="00CB1902"/>
    <w:rsid w:val="00CD05DC"/>
    <w:rsid w:val="00CD0D88"/>
    <w:rsid w:val="00CD3288"/>
    <w:rsid w:val="00CD5BD3"/>
    <w:rsid w:val="00CD5D9E"/>
    <w:rsid w:val="00CE030A"/>
    <w:rsid w:val="00CE3ECC"/>
    <w:rsid w:val="00CE7462"/>
    <w:rsid w:val="00CE78F4"/>
    <w:rsid w:val="00D012F9"/>
    <w:rsid w:val="00D0247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05A89"/>
    <w:rsid w:val="00E220C1"/>
    <w:rsid w:val="00E252E3"/>
    <w:rsid w:val="00E32001"/>
    <w:rsid w:val="00E3516B"/>
    <w:rsid w:val="00E35D32"/>
    <w:rsid w:val="00E37E7E"/>
    <w:rsid w:val="00E421E2"/>
    <w:rsid w:val="00E43978"/>
    <w:rsid w:val="00E45EF5"/>
    <w:rsid w:val="00E472E7"/>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206E"/>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E76C1"/>
    <w:rsid w:val="00EF5A0E"/>
    <w:rsid w:val="00F051E2"/>
    <w:rsid w:val="00F108B5"/>
    <w:rsid w:val="00F13FC0"/>
    <w:rsid w:val="00F20537"/>
    <w:rsid w:val="00F265DA"/>
    <w:rsid w:val="00F27D51"/>
    <w:rsid w:val="00F31496"/>
    <w:rsid w:val="00F31B68"/>
    <w:rsid w:val="00F32D24"/>
    <w:rsid w:val="00F334D2"/>
    <w:rsid w:val="00F365A9"/>
    <w:rsid w:val="00F37EE4"/>
    <w:rsid w:val="00F40755"/>
    <w:rsid w:val="00F44E7C"/>
    <w:rsid w:val="00F45932"/>
    <w:rsid w:val="00F47588"/>
    <w:rsid w:val="00F51CC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2BC8"/>
    <w:rsid w:val="00FA435E"/>
    <w:rsid w:val="00FA4C19"/>
    <w:rsid w:val="00FA5EF1"/>
    <w:rsid w:val="00FB31F9"/>
    <w:rsid w:val="00FB7BF0"/>
    <w:rsid w:val="00FC33A5"/>
    <w:rsid w:val="00FC6684"/>
    <w:rsid w:val="00FC67B1"/>
    <w:rsid w:val="00FC7E2D"/>
    <w:rsid w:val="00FD170F"/>
    <w:rsid w:val="00FD3F6D"/>
    <w:rsid w:val="00FD45BD"/>
    <w:rsid w:val="00FD52D5"/>
    <w:rsid w:val="00FE3802"/>
    <w:rsid w:val="00FE4A3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A3029D3"/>
    <w:rsid w:val="6D116F45"/>
    <w:rsid w:val="72547B2E"/>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3055</Words>
  <Characters>3155</Characters>
  <Lines>28</Lines>
  <Paragraphs>8</Paragraphs>
  <TotalTime>195</TotalTime>
  <ScaleCrop>false</ScaleCrop>
  <LinksUpToDate>false</LinksUpToDate>
  <CharactersWithSpaces>3625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2022-04-29T03:27:00Z</dcterms:created>
  <dc:creator>dzs</dc:creator>
  <cp:lastModifiedBy>?       、M</cp:lastModifiedBy>
  <cp:lastPrinted>2022-09-01T07:44:00Z</cp:lastPrinted>
  <dcterms:modified xsi:type="dcterms:W3CDTF">2022-09-08T02:51:17Z</dcterms:modified>
  <dc:title>扬州自来水总公司工程材料招标邀请书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146ACFA3370A4C239FB542CCB73892B3</vt:lpwstr>
  </property>
</Properties>
</file>