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宋体" w:eastAsia="黑体"/>
          <w:b/>
          <w:snapToGrid w:val="0"/>
          <w:sz w:val="84"/>
          <w:szCs w:val="84"/>
        </w:rPr>
      </w:pPr>
    </w:p>
    <w:p>
      <w:pPr>
        <w:adjustRightInd w:val="0"/>
        <w:snapToGrid w:val="0"/>
        <w:spacing w:line="360" w:lineRule="auto"/>
        <w:jc w:val="center"/>
        <w:rPr>
          <w:rFonts w:ascii="黑体" w:hAnsi="宋体" w:eastAsia="黑体"/>
          <w:b/>
          <w:snapToGrid w:val="0"/>
          <w:sz w:val="84"/>
          <w:szCs w:val="84"/>
        </w:rPr>
      </w:pPr>
      <w:r>
        <w:rPr>
          <w:rFonts w:hint="eastAsia" w:ascii="方正黑体_GBK" w:hAnsi="方正黑体_GBK" w:eastAsia="方正黑体_GBK" w:cs="方正黑体_GBK"/>
          <w:b w:val="0"/>
          <w:bCs/>
          <w:snapToGrid w:val="0"/>
          <w:sz w:val="56"/>
          <w:szCs w:val="56"/>
          <w:lang w:val="en-US" w:eastAsia="zh-CN"/>
        </w:rPr>
        <w:t>金湾路污水整治路面白改黑项目</w:t>
      </w:r>
      <w:r>
        <w:rPr>
          <w:rFonts w:hint="eastAsia" w:ascii="黑体" w:hAnsi="宋体" w:eastAsia="黑体"/>
          <w:b/>
          <w:snapToGrid w:val="0"/>
          <w:sz w:val="84"/>
          <w:szCs w:val="84"/>
        </w:rPr>
        <w:t xml:space="preserve">   </w:t>
      </w:r>
    </w:p>
    <w:p>
      <w:pPr>
        <w:adjustRightInd w:val="0"/>
        <w:snapToGrid w:val="0"/>
        <w:spacing w:line="360" w:lineRule="auto"/>
        <w:rPr>
          <w:rFonts w:ascii="黑体" w:hAnsi="宋体" w:eastAsia="黑体"/>
          <w:b/>
          <w:snapToGrid w:val="0"/>
          <w:sz w:val="84"/>
          <w:szCs w:val="84"/>
        </w:rPr>
      </w:pPr>
    </w:p>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602" w:firstLineChars="200"/>
        <w:rPr>
          <w:rFonts w:ascii="仿宋_GB2312" w:hAnsi="宋体" w:eastAsia="仿宋_GB2312"/>
          <w:b/>
          <w:bCs/>
          <w:snapToGrid w:val="0"/>
          <w:sz w:val="30"/>
        </w:rPr>
      </w:pPr>
    </w:p>
    <w:p>
      <w:pPr>
        <w:adjustRightInd w:val="0"/>
        <w:snapToGrid w:val="0"/>
        <w:spacing w:line="480" w:lineRule="auto"/>
        <w:ind w:firstLine="1051" w:firstLineChars="349"/>
        <w:rPr>
          <w:rFonts w:ascii="仿宋_GB2312" w:hAnsi="宋体" w:eastAsia="仿宋_GB2312"/>
          <w:b/>
          <w:bCs/>
          <w:snapToGrid w:val="0"/>
          <w:sz w:val="28"/>
        </w:rPr>
      </w:pPr>
      <w:r>
        <w:rPr>
          <w:rFonts w:hint="eastAsia" w:ascii="仿宋_GB2312" w:hAnsi="宋体" w:eastAsia="仿宋_GB2312"/>
          <w:b/>
          <w:bCs/>
          <w:snapToGrid w:val="0"/>
          <w:sz w:val="30"/>
        </w:rPr>
        <w:t xml:space="preserve">招   </w:t>
      </w:r>
      <w:r>
        <w:rPr>
          <w:rFonts w:ascii="仿宋_GB2312" w:hAnsi="宋体" w:eastAsia="仿宋_GB2312"/>
          <w:b/>
          <w:bCs/>
          <w:snapToGrid w:val="0"/>
          <w:sz w:val="30"/>
        </w:rPr>
        <w:t xml:space="preserve"> </w:t>
      </w:r>
      <w:r>
        <w:rPr>
          <w:rFonts w:hint="eastAsia" w:ascii="仿宋_GB2312" w:hAnsi="宋体" w:eastAsia="仿宋_GB2312"/>
          <w:b/>
          <w:bCs/>
          <w:snapToGrid w:val="0"/>
          <w:sz w:val="30"/>
        </w:rPr>
        <w:t>标   人 ：扬州市上善建设工程有限公司</w:t>
      </w:r>
    </w:p>
    <w:p>
      <w:pPr>
        <w:adjustRightInd w:val="0"/>
        <w:snapToGrid w:val="0"/>
        <w:spacing w:line="480" w:lineRule="auto"/>
        <w:ind w:firstLine="1042" w:firstLineChars="346"/>
        <w:rPr>
          <w:rFonts w:ascii="宋体" w:hAnsi="宋体"/>
          <w:bCs/>
          <w:snapToGrid w:val="0"/>
          <w:color w:val="FF0000"/>
          <w:sz w:val="30"/>
        </w:rPr>
      </w:pPr>
      <w:r>
        <w:rPr>
          <w:rFonts w:hint="eastAsia" w:ascii="仿宋_GB2312" w:hAnsi="宋体" w:eastAsia="仿宋_GB2312"/>
          <w:b/>
          <w:bCs/>
          <w:snapToGrid w:val="0"/>
          <w:sz w:val="30"/>
        </w:rPr>
        <w:t>发  布 日  期：</w:t>
      </w:r>
      <w:r>
        <w:rPr>
          <w:rFonts w:hint="eastAsia" w:ascii="仿宋_GB2312" w:hAnsi="宋体" w:eastAsia="仿宋_GB2312"/>
          <w:b/>
          <w:bCs/>
          <w:snapToGrid w:val="0"/>
          <w:sz w:val="30"/>
          <w:u w:val="single"/>
        </w:rPr>
        <w:t xml:space="preserve"> 202</w:t>
      </w:r>
      <w:r>
        <w:rPr>
          <w:rFonts w:hint="eastAsia" w:ascii="仿宋_GB2312" w:hAnsi="宋体" w:eastAsia="仿宋_GB2312"/>
          <w:b/>
          <w:bCs/>
          <w:snapToGrid w:val="0"/>
          <w:sz w:val="30"/>
          <w:u w:val="single"/>
          <w:lang w:val="en-US" w:eastAsia="zh-CN"/>
        </w:rPr>
        <w:t>3</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rPr>
        <w:t xml:space="preserve">年 </w:t>
      </w:r>
      <w:r>
        <w:rPr>
          <w:rFonts w:hint="eastAsia" w:ascii="仿宋_GB2312" w:hAnsi="宋体" w:eastAsia="仿宋_GB2312"/>
          <w:b/>
          <w:bCs/>
          <w:snapToGrid w:val="0"/>
          <w:sz w:val="30"/>
          <w:u w:val="single"/>
          <w:lang w:val="en-US" w:eastAsia="zh-CN"/>
        </w:rPr>
        <w:t>1</w:t>
      </w:r>
      <w:r>
        <w:rPr>
          <w:rFonts w:hint="eastAsia" w:ascii="仿宋_GB2312" w:hAnsi="宋体" w:eastAsia="仿宋_GB2312"/>
          <w:b/>
          <w:bCs/>
          <w:snapToGrid w:val="0"/>
          <w:sz w:val="30"/>
        </w:rPr>
        <w:t>月</w:t>
      </w:r>
      <w:bookmarkStart w:id="14" w:name="_GoBack"/>
      <w:bookmarkEnd w:id="14"/>
    </w:p>
    <w:p>
      <w:pPr>
        <w:adjustRightInd w:val="0"/>
        <w:snapToGrid w:val="0"/>
        <w:spacing w:line="360" w:lineRule="auto"/>
        <w:ind w:firstLine="881"/>
        <w:jc w:val="center"/>
        <w:rPr>
          <w:rFonts w:hint="eastAsia" w:ascii="宋体" w:hAnsi="宋体"/>
          <w:b/>
          <w:snapToGrid w:val="0"/>
          <w:sz w:val="44"/>
          <w:highlight w:val="white"/>
        </w:rPr>
      </w:pPr>
    </w:p>
    <w:p>
      <w:pPr>
        <w:adjustRightInd w:val="0"/>
        <w:snapToGrid w:val="0"/>
        <w:spacing w:line="360" w:lineRule="auto"/>
        <w:ind w:firstLine="881"/>
        <w:jc w:val="center"/>
        <w:rPr>
          <w:rFonts w:ascii="宋体" w:hAnsi="宋体"/>
          <w:b/>
          <w:snapToGrid w:val="0"/>
          <w:sz w:val="44"/>
          <w:highlight w:val="white"/>
        </w:rPr>
      </w:pPr>
      <w:r>
        <w:rPr>
          <w:rFonts w:hint="eastAsia" w:ascii="宋体" w:hAnsi="宋体"/>
          <w:b/>
          <w:snapToGrid w:val="0"/>
          <w:sz w:val="44"/>
          <w:highlight w:val="white"/>
        </w:rPr>
        <w:t>目         录</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投标须知、投标人须知前附表</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总则</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招标文件</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投标文件</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投标报价</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投标文件密封和递交</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开标</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评标与定标</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授予合同</w:t>
      </w:r>
    </w:p>
    <w:p>
      <w:pPr>
        <w:adjustRightInd w:val="0"/>
        <w:snapToGrid w:val="0"/>
        <w:spacing w:line="480" w:lineRule="auto"/>
        <w:ind w:firstLine="640"/>
        <w:rPr>
          <w:rFonts w:ascii="宋体" w:hAnsi="宋体"/>
          <w:bCs/>
          <w:snapToGrid w:val="0"/>
          <w:sz w:val="32"/>
        </w:rPr>
      </w:pPr>
    </w:p>
    <w:p>
      <w:pPr>
        <w:adjustRightInd w:val="0"/>
        <w:snapToGrid w:val="0"/>
        <w:spacing w:line="480" w:lineRule="auto"/>
        <w:ind w:firstLine="640"/>
        <w:rPr>
          <w:rFonts w:ascii="宋体" w:hAnsi="宋体"/>
          <w:bCs/>
          <w:snapToGrid w:val="0"/>
          <w:sz w:val="32"/>
        </w:rPr>
      </w:pPr>
    </w:p>
    <w:p>
      <w:pPr>
        <w:pStyle w:val="13"/>
        <w:jc w:val="both"/>
        <w:rPr>
          <w:rFonts w:ascii="宋体" w:hAnsi="宋体"/>
          <w:snapToGrid w:val="0"/>
          <w:highlight w:val="white"/>
        </w:rPr>
      </w:pPr>
      <w:r>
        <w:rPr>
          <w:rFonts w:hint="eastAsia"/>
          <w:snapToGrid w:val="0"/>
          <w:highlight w:val="white"/>
        </w:rPr>
        <w:br w:type="page"/>
      </w:r>
      <w:r>
        <w:rPr>
          <w:rFonts w:hint="eastAsia"/>
          <w:snapToGrid w:val="0"/>
          <w:highlight w:val="white"/>
        </w:rPr>
        <w:t>一、</w:t>
      </w:r>
      <w:r>
        <w:rPr>
          <w:rFonts w:hint="eastAsia" w:ascii="宋体" w:hAnsi="宋体"/>
          <w:snapToGrid w:val="0"/>
          <w:highlight w:val="white"/>
        </w:rPr>
        <w:t xml:space="preserve"> 投标须知</w:t>
      </w:r>
    </w:p>
    <w:p>
      <w:pPr>
        <w:adjustRightInd w:val="0"/>
        <w:snapToGrid w:val="0"/>
        <w:jc w:val="left"/>
        <w:rPr>
          <w:sz w:val="24"/>
        </w:rPr>
      </w:pPr>
      <w:r>
        <w:rPr>
          <w:sz w:val="24"/>
        </w:rPr>
        <w:t>附投标人须知表</w:t>
      </w:r>
    </w:p>
    <w:tbl>
      <w:tblPr>
        <w:tblStyle w:val="14"/>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771"/>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730" w:type="dxa"/>
            <w:vAlign w:val="center"/>
          </w:tcPr>
          <w:p>
            <w:pPr>
              <w:adjustRightInd w:val="0"/>
              <w:snapToGrid w:val="0"/>
              <w:jc w:val="center"/>
              <w:rPr>
                <w:sz w:val="24"/>
                <w:szCs w:val="24"/>
              </w:rPr>
            </w:pPr>
            <w:r>
              <w:rPr>
                <w:sz w:val="24"/>
                <w:szCs w:val="24"/>
              </w:rPr>
              <w:t>序号</w:t>
            </w:r>
          </w:p>
        </w:tc>
        <w:tc>
          <w:tcPr>
            <w:tcW w:w="1771" w:type="dxa"/>
            <w:vAlign w:val="center"/>
          </w:tcPr>
          <w:p>
            <w:pPr>
              <w:adjustRightInd w:val="0"/>
              <w:snapToGrid w:val="0"/>
              <w:jc w:val="center"/>
              <w:rPr>
                <w:sz w:val="24"/>
                <w:szCs w:val="24"/>
              </w:rPr>
            </w:pPr>
            <w:r>
              <w:rPr>
                <w:sz w:val="24"/>
                <w:szCs w:val="24"/>
              </w:rPr>
              <w:t>项目</w:t>
            </w:r>
          </w:p>
        </w:tc>
        <w:tc>
          <w:tcPr>
            <w:tcW w:w="6627" w:type="dxa"/>
            <w:vAlign w:val="center"/>
          </w:tcPr>
          <w:p>
            <w:pPr>
              <w:adjustRightInd w:val="0"/>
              <w:snapToGrid w:val="0"/>
              <w:jc w:val="center"/>
              <w:rPr>
                <w:sz w:val="24"/>
                <w:szCs w:val="24"/>
              </w:rPr>
            </w:pPr>
            <w:r>
              <w:rPr>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30" w:type="dxa"/>
            <w:vAlign w:val="center"/>
          </w:tcPr>
          <w:p>
            <w:pPr>
              <w:adjustRightInd w:val="0"/>
              <w:snapToGrid w:val="0"/>
              <w:jc w:val="center"/>
              <w:rPr>
                <w:sz w:val="24"/>
                <w:szCs w:val="24"/>
              </w:rPr>
            </w:pPr>
            <w:r>
              <w:rPr>
                <w:sz w:val="24"/>
                <w:szCs w:val="24"/>
              </w:rPr>
              <w:t>1</w:t>
            </w:r>
          </w:p>
        </w:tc>
        <w:tc>
          <w:tcPr>
            <w:tcW w:w="1771" w:type="dxa"/>
            <w:vAlign w:val="center"/>
          </w:tcPr>
          <w:p>
            <w:pPr>
              <w:adjustRightInd w:val="0"/>
              <w:snapToGrid w:val="0"/>
              <w:jc w:val="center"/>
              <w:rPr>
                <w:sz w:val="24"/>
                <w:szCs w:val="24"/>
              </w:rPr>
            </w:pPr>
            <w:r>
              <w:rPr>
                <w:sz w:val="24"/>
                <w:szCs w:val="24"/>
              </w:rPr>
              <w:t>项目名称</w:t>
            </w:r>
          </w:p>
        </w:tc>
        <w:tc>
          <w:tcPr>
            <w:tcW w:w="6627" w:type="dxa"/>
            <w:vAlign w:val="center"/>
          </w:tcPr>
          <w:p>
            <w:pPr>
              <w:adjustRightInd w:val="0"/>
              <w:snapToGrid w:val="0"/>
              <w:jc w:val="center"/>
              <w:rPr>
                <w:sz w:val="24"/>
                <w:szCs w:val="24"/>
              </w:rPr>
            </w:pPr>
            <w:r>
              <w:rPr>
                <w:rFonts w:hint="eastAsia"/>
                <w:sz w:val="24"/>
                <w:szCs w:val="24"/>
              </w:rPr>
              <w:t>扬州市金泰路</w:t>
            </w:r>
            <w:r>
              <w:rPr>
                <w:rFonts w:hint="eastAsia"/>
                <w:color w:val="000000"/>
                <w:sz w:val="24"/>
                <w:szCs w:val="24"/>
              </w:rPr>
              <w:t>道路</w:t>
            </w:r>
            <w:r>
              <w:rPr>
                <w:rFonts w:hint="eastAsia"/>
                <w:sz w:val="24"/>
                <w:szCs w:val="24"/>
              </w:rPr>
              <w:t>聚合物注浆加固工程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30" w:type="dxa"/>
            <w:vAlign w:val="center"/>
          </w:tcPr>
          <w:p>
            <w:pPr>
              <w:adjustRightInd w:val="0"/>
              <w:snapToGrid w:val="0"/>
              <w:jc w:val="center"/>
              <w:rPr>
                <w:sz w:val="24"/>
                <w:szCs w:val="24"/>
              </w:rPr>
            </w:pPr>
            <w:r>
              <w:rPr>
                <w:sz w:val="24"/>
                <w:szCs w:val="24"/>
              </w:rPr>
              <w:t>2</w:t>
            </w:r>
          </w:p>
        </w:tc>
        <w:tc>
          <w:tcPr>
            <w:tcW w:w="1771" w:type="dxa"/>
            <w:vAlign w:val="center"/>
          </w:tcPr>
          <w:p>
            <w:pPr>
              <w:adjustRightInd w:val="0"/>
              <w:snapToGrid w:val="0"/>
              <w:jc w:val="center"/>
              <w:rPr>
                <w:sz w:val="24"/>
                <w:szCs w:val="24"/>
              </w:rPr>
            </w:pPr>
            <w:r>
              <w:rPr>
                <w:sz w:val="24"/>
                <w:szCs w:val="24"/>
              </w:rPr>
              <w:t>招标人</w:t>
            </w:r>
          </w:p>
        </w:tc>
        <w:tc>
          <w:tcPr>
            <w:tcW w:w="6627" w:type="dxa"/>
            <w:vAlign w:val="center"/>
          </w:tcPr>
          <w:p>
            <w:pPr>
              <w:adjustRightInd w:val="0"/>
              <w:snapToGrid w:val="0"/>
              <w:jc w:val="center"/>
              <w:rPr>
                <w:sz w:val="24"/>
                <w:szCs w:val="24"/>
              </w:rPr>
            </w:pPr>
            <w:r>
              <w:rPr>
                <w:rFonts w:hint="eastAsia"/>
                <w:sz w:val="24"/>
                <w:szCs w:val="24"/>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30" w:type="dxa"/>
            <w:vAlign w:val="center"/>
          </w:tcPr>
          <w:p>
            <w:pPr>
              <w:adjustRightInd w:val="0"/>
              <w:snapToGrid w:val="0"/>
              <w:jc w:val="center"/>
              <w:rPr>
                <w:sz w:val="24"/>
                <w:szCs w:val="24"/>
              </w:rPr>
            </w:pPr>
            <w:r>
              <w:rPr>
                <w:sz w:val="24"/>
                <w:szCs w:val="24"/>
              </w:rPr>
              <w:t>3</w:t>
            </w:r>
          </w:p>
        </w:tc>
        <w:tc>
          <w:tcPr>
            <w:tcW w:w="1771" w:type="dxa"/>
            <w:vAlign w:val="center"/>
          </w:tcPr>
          <w:p>
            <w:pPr>
              <w:adjustRightInd w:val="0"/>
              <w:snapToGrid w:val="0"/>
              <w:jc w:val="center"/>
              <w:rPr>
                <w:sz w:val="24"/>
                <w:szCs w:val="24"/>
              </w:rPr>
            </w:pPr>
            <w:r>
              <w:rPr>
                <w:sz w:val="24"/>
                <w:szCs w:val="24"/>
              </w:rPr>
              <w:t>招标方式</w:t>
            </w:r>
          </w:p>
        </w:tc>
        <w:tc>
          <w:tcPr>
            <w:tcW w:w="6627" w:type="dxa"/>
            <w:vAlign w:val="center"/>
          </w:tcPr>
          <w:p>
            <w:pPr>
              <w:adjustRightInd w:val="0"/>
              <w:snapToGrid w:val="0"/>
              <w:jc w:val="center"/>
              <w:rPr>
                <w:sz w:val="24"/>
                <w:szCs w:val="24"/>
              </w:rPr>
            </w:pPr>
            <w:r>
              <w:rPr>
                <w:rFonts w:hint="eastAsia"/>
                <w:sz w:val="24"/>
                <w:szCs w:val="24"/>
              </w:rPr>
              <w:t>邀请</w:t>
            </w:r>
            <w:r>
              <w:rPr>
                <w:sz w:val="24"/>
                <w:szCs w:val="24"/>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30" w:type="dxa"/>
            <w:vAlign w:val="center"/>
          </w:tcPr>
          <w:p>
            <w:pPr>
              <w:adjustRightInd w:val="0"/>
              <w:snapToGrid w:val="0"/>
              <w:jc w:val="center"/>
              <w:rPr>
                <w:sz w:val="24"/>
                <w:szCs w:val="24"/>
              </w:rPr>
            </w:pPr>
            <w:r>
              <w:rPr>
                <w:sz w:val="24"/>
                <w:szCs w:val="24"/>
              </w:rPr>
              <w:t>4</w:t>
            </w:r>
          </w:p>
        </w:tc>
        <w:tc>
          <w:tcPr>
            <w:tcW w:w="1771" w:type="dxa"/>
            <w:vAlign w:val="center"/>
          </w:tcPr>
          <w:p>
            <w:pPr>
              <w:adjustRightInd w:val="0"/>
              <w:snapToGrid w:val="0"/>
              <w:jc w:val="center"/>
              <w:rPr>
                <w:sz w:val="24"/>
                <w:szCs w:val="24"/>
              </w:rPr>
            </w:pPr>
            <w:r>
              <w:rPr>
                <w:sz w:val="24"/>
                <w:szCs w:val="24"/>
              </w:rPr>
              <w:t>项目实施地点</w:t>
            </w:r>
          </w:p>
        </w:tc>
        <w:tc>
          <w:tcPr>
            <w:tcW w:w="6627" w:type="dxa"/>
            <w:vAlign w:val="center"/>
          </w:tcPr>
          <w:p>
            <w:pPr>
              <w:adjustRightInd w:val="0"/>
              <w:snapToGrid w:val="0"/>
              <w:jc w:val="center"/>
              <w:rPr>
                <w:rFonts w:hint="default" w:eastAsia="宋体"/>
                <w:sz w:val="24"/>
                <w:szCs w:val="24"/>
                <w:lang w:val="en-US" w:eastAsia="zh-CN"/>
              </w:rPr>
            </w:pPr>
            <w:r>
              <w:rPr>
                <w:rFonts w:hint="eastAsia"/>
                <w:sz w:val="24"/>
                <w:szCs w:val="24"/>
              </w:rPr>
              <w:t>扬州市</w:t>
            </w:r>
            <w:r>
              <w:rPr>
                <w:rFonts w:hint="eastAsia"/>
                <w:sz w:val="24"/>
                <w:szCs w:val="24"/>
                <w:lang w:val="en-US" w:eastAsia="zh-CN"/>
              </w:rPr>
              <w:t>生态科技新城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730" w:type="dxa"/>
            <w:vAlign w:val="center"/>
          </w:tcPr>
          <w:p>
            <w:pPr>
              <w:adjustRightInd w:val="0"/>
              <w:snapToGrid w:val="0"/>
              <w:jc w:val="center"/>
              <w:rPr>
                <w:sz w:val="24"/>
                <w:szCs w:val="24"/>
              </w:rPr>
            </w:pPr>
            <w:r>
              <w:rPr>
                <w:sz w:val="24"/>
                <w:szCs w:val="24"/>
              </w:rPr>
              <w:t>5</w:t>
            </w:r>
          </w:p>
        </w:tc>
        <w:tc>
          <w:tcPr>
            <w:tcW w:w="1771" w:type="dxa"/>
            <w:vAlign w:val="center"/>
          </w:tcPr>
          <w:p>
            <w:pPr>
              <w:adjustRightInd w:val="0"/>
              <w:snapToGrid w:val="0"/>
              <w:jc w:val="center"/>
              <w:rPr>
                <w:sz w:val="24"/>
                <w:szCs w:val="24"/>
              </w:rPr>
            </w:pPr>
            <w:r>
              <w:rPr>
                <w:sz w:val="24"/>
                <w:szCs w:val="24"/>
              </w:rPr>
              <w:t>承包方式</w:t>
            </w:r>
          </w:p>
        </w:tc>
        <w:tc>
          <w:tcPr>
            <w:tcW w:w="6627" w:type="dxa"/>
            <w:vAlign w:val="center"/>
          </w:tcPr>
          <w:p>
            <w:pPr>
              <w:adjustRightInd w:val="0"/>
              <w:snapToGrid w:val="0"/>
              <w:ind w:firstLine="480" w:firstLineChars="200"/>
              <w:jc w:val="center"/>
              <w:rPr>
                <w:sz w:val="24"/>
                <w:szCs w:val="24"/>
              </w:rPr>
            </w:pPr>
            <w:r>
              <w:rPr>
                <w:sz w:val="24"/>
                <w:szCs w:val="24"/>
              </w:rPr>
              <w:t>禁止违法分包或转包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30" w:type="dxa"/>
            <w:vAlign w:val="center"/>
          </w:tcPr>
          <w:p>
            <w:pPr>
              <w:adjustRightInd w:val="0"/>
              <w:snapToGrid w:val="0"/>
              <w:jc w:val="center"/>
              <w:rPr>
                <w:sz w:val="24"/>
                <w:szCs w:val="24"/>
              </w:rPr>
            </w:pPr>
            <w:r>
              <w:rPr>
                <w:sz w:val="24"/>
                <w:szCs w:val="24"/>
              </w:rPr>
              <w:t>6</w:t>
            </w:r>
          </w:p>
        </w:tc>
        <w:tc>
          <w:tcPr>
            <w:tcW w:w="1771" w:type="dxa"/>
            <w:vAlign w:val="center"/>
          </w:tcPr>
          <w:p>
            <w:pPr>
              <w:adjustRightInd w:val="0"/>
              <w:snapToGrid w:val="0"/>
              <w:jc w:val="center"/>
              <w:rPr>
                <w:sz w:val="24"/>
                <w:szCs w:val="24"/>
              </w:rPr>
            </w:pPr>
            <w:r>
              <w:rPr>
                <w:sz w:val="24"/>
                <w:szCs w:val="24"/>
              </w:rPr>
              <w:t>项目实施时间</w:t>
            </w:r>
          </w:p>
        </w:tc>
        <w:tc>
          <w:tcPr>
            <w:tcW w:w="6627" w:type="dxa"/>
            <w:vAlign w:val="center"/>
          </w:tcPr>
          <w:p>
            <w:pPr>
              <w:adjustRightInd w:val="0"/>
              <w:snapToGrid w:val="0"/>
              <w:jc w:val="center"/>
              <w:rPr>
                <w:sz w:val="24"/>
                <w:szCs w:val="24"/>
              </w:rPr>
            </w:pPr>
            <w:r>
              <w:rPr>
                <w:rFonts w:hint="eastAsia"/>
                <w:sz w:val="24"/>
                <w:szCs w:val="24"/>
              </w:rPr>
              <w:t>按招标人的指定时间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30" w:type="dxa"/>
            <w:vAlign w:val="center"/>
          </w:tcPr>
          <w:p>
            <w:pPr>
              <w:adjustRightInd w:val="0"/>
              <w:snapToGrid w:val="0"/>
              <w:jc w:val="center"/>
              <w:rPr>
                <w:sz w:val="24"/>
                <w:szCs w:val="24"/>
              </w:rPr>
            </w:pPr>
            <w:r>
              <w:rPr>
                <w:sz w:val="24"/>
                <w:szCs w:val="24"/>
              </w:rPr>
              <w:t>8</w:t>
            </w:r>
          </w:p>
        </w:tc>
        <w:tc>
          <w:tcPr>
            <w:tcW w:w="1771" w:type="dxa"/>
            <w:vAlign w:val="center"/>
          </w:tcPr>
          <w:p>
            <w:pPr>
              <w:adjustRightInd w:val="0"/>
              <w:snapToGrid w:val="0"/>
              <w:jc w:val="center"/>
              <w:rPr>
                <w:sz w:val="24"/>
                <w:szCs w:val="24"/>
              </w:rPr>
            </w:pPr>
            <w:r>
              <w:rPr>
                <w:sz w:val="24"/>
                <w:szCs w:val="24"/>
              </w:rPr>
              <w:t>质量要求</w:t>
            </w:r>
          </w:p>
        </w:tc>
        <w:tc>
          <w:tcPr>
            <w:tcW w:w="6627" w:type="dxa"/>
            <w:vAlign w:val="center"/>
          </w:tcPr>
          <w:p>
            <w:pPr>
              <w:pStyle w:val="11"/>
              <w:adjustRightInd w:val="0"/>
              <w:snapToGrid w:val="0"/>
              <w:jc w:val="center"/>
              <w:rPr>
                <w:sz w:val="24"/>
                <w:szCs w:val="24"/>
              </w:rPr>
            </w:pPr>
            <w:r>
              <w:rPr>
                <w:sz w:val="24"/>
                <w:szCs w:val="24"/>
              </w:rPr>
              <w:t>合格（达到招标人验收标准）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pPr>
              <w:adjustRightInd w:val="0"/>
              <w:snapToGrid w:val="0"/>
              <w:jc w:val="center"/>
              <w:rPr>
                <w:sz w:val="24"/>
                <w:szCs w:val="24"/>
              </w:rPr>
            </w:pPr>
            <w:r>
              <w:rPr>
                <w:sz w:val="24"/>
                <w:szCs w:val="24"/>
              </w:rPr>
              <w:t>9</w:t>
            </w:r>
          </w:p>
        </w:tc>
        <w:tc>
          <w:tcPr>
            <w:tcW w:w="1771" w:type="dxa"/>
            <w:vAlign w:val="center"/>
          </w:tcPr>
          <w:p>
            <w:pPr>
              <w:adjustRightInd w:val="0"/>
              <w:snapToGrid w:val="0"/>
              <w:jc w:val="center"/>
              <w:rPr>
                <w:sz w:val="24"/>
                <w:szCs w:val="24"/>
              </w:rPr>
            </w:pPr>
            <w:r>
              <w:rPr>
                <w:sz w:val="24"/>
                <w:szCs w:val="24"/>
              </w:rPr>
              <w:t>投标人要求</w:t>
            </w:r>
          </w:p>
        </w:tc>
        <w:tc>
          <w:tcPr>
            <w:tcW w:w="6627" w:type="dxa"/>
            <w:vAlign w:val="center"/>
          </w:tcPr>
          <w:p>
            <w:pPr>
              <w:adjustRightInd w:val="0"/>
              <w:snapToGrid w:val="0"/>
              <w:ind w:firstLine="120" w:firstLineChars="50"/>
              <w:rPr>
                <w:sz w:val="24"/>
                <w:szCs w:val="24"/>
              </w:rPr>
            </w:pPr>
            <w:r>
              <w:rPr>
                <w:sz w:val="24"/>
                <w:szCs w:val="24"/>
              </w:rPr>
              <w:t>1</w:t>
            </w:r>
            <w:r>
              <w:rPr>
                <w:rFonts w:hint="eastAsia"/>
                <w:sz w:val="24"/>
                <w:szCs w:val="24"/>
              </w:rPr>
              <w:t>.</w:t>
            </w:r>
            <w:r>
              <w:rPr>
                <w:sz w:val="24"/>
                <w:szCs w:val="24"/>
              </w:rPr>
              <w:t>具有独立的法人资格和承担民事责任的能力；</w:t>
            </w:r>
          </w:p>
          <w:p>
            <w:pPr>
              <w:adjustRightInd w:val="0"/>
              <w:snapToGrid w:val="0"/>
              <w:ind w:firstLine="120" w:firstLineChars="50"/>
              <w:rPr>
                <w:sz w:val="24"/>
                <w:szCs w:val="24"/>
              </w:rPr>
            </w:pPr>
            <w:r>
              <w:rPr>
                <w:sz w:val="24"/>
                <w:szCs w:val="24"/>
              </w:rPr>
              <w:t>2</w:t>
            </w:r>
            <w:r>
              <w:rPr>
                <w:rFonts w:hint="eastAsia"/>
                <w:sz w:val="24"/>
                <w:szCs w:val="24"/>
              </w:rPr>
              <w:t>.</w:t>
            </w:r>
            <w:r>
              <w:rPr>
                <w:sz w:val="24"/>
                <w:szCs w:val="24"/>
              </w:rPr>
              <w:t>具有独立履行合同的能力，禁止违法分包和转包；</w:t>
            </w:r>
          </w:p>
          <w:p>
            <w:pPr>
              <w:adjustRightInd w:val="0"/>
              <w:snapToGrid w:val="0"/>
              <w:ind w:firstLine="120" w:firstLineChars="50"/>
              <w:rPr>
                <w:sz w:val="24"/>
                <w:szCs w:val="24"/>
              </w:rPr>
            </w:pPr>
            <w:r>
              <w:rPr>
                <w:sz w:val="24"/>
                <w:szCs w:val="24"/>
              </w:rPr>
              <w:t>3</w:t>
            </w:r>
            <w:r>
              <w:rPr>
                <w:rFonts w:hint="eastAsia"/>
                <w:sz w:val="24"/>
                <w:szCs w:val="24"/>
              </w:rPr>
              <w:t>.</w:t>
            </w:r>
            <w:r>
              <w:rPr>
                <w:sz w:val="24"/>
                <w:szCs w:val="24"/>
              </w:rPr>
              <w:t>只有在法律和财务上合法运作的投标人才能参加本次投标；</w:t>
            </w:r>
          </w:p>
          <w:p>
            <w:pPr>
              <w:adjustRightInd w:val="0"/>
              <w:snapToGrid w:val="0"/>
              <w:ind w:firstLine="120" w:firstLineChars="50"/>
              <w:rPr>
                <w:sz w:val="24"/>
                <w:szCs w:val="24"/>
              </w:rPr>
            </w:pPr>
            <w:r>
              <w:rPr>
                <w:sz w:val="24"/>
                <w:szCs w:val="24"/>
              </w:rPr>
              <w:t>4</w:t>
            </w:r>
            <w:r>
              <w:rPr>
                <w:rFonts w:hint="eastAsia"/>
                <w:sz w:val="24"/>
                <w:szCs w:val="24"/>
              </w:rPr>
              <w:t>.有</w:t>
            </w:r>
            <w:r>
              <w:rPr>
                <w:sz w:val="24"/>
                <w:szCs w:val="24"/>
              </w:rPr>
              <w:t>相关</w:t>
            </w:r>
            <w:r>
              <w:rPr>
                <w:rFonts w:hint="eastAsia"/>
                <w:sz w:val="24"/>
                <w:szCs w:val="24"/>
              </w:rPr>
              <w:t>工作</w:t>
            </w:r>
            <w:r>
              <w:rPr>
                <w:sz w:val="24"/>
                <w:szCs w:val="24"/>
              </w:rPr>
              <w:t>经验；</w:t>
            </w:r>
          </w:p>
          <w:p>
            <w:pPr>
              <w:adjustRightInd w:val="0"/>
              <w:snapToGrid w:val="0"/>
              <w:ind w:firstLine="120" w:firstLineChars="50"/>
              <w:rPr>
                <w:sz w:val="24"/>
                <w:szCs w:val="24"/>
              </w:rPr>
            </w:pPr>
            <w:r>
              <w:rPr>
                <w:sz w:val="24"/>
                <w:szCs w:val="24"/>
              </w:rPr>
              <w:t>5</w:t>
            </w:r>
            <w:r>
              <w:rPr>
                <w:rFonts w:hint="eastAsia"/>
                <w:sz w:val="24"/>
                <w:szCs w:val="24"/>
              </w:rPr>
              <w:t>.</w:t>
            </w:r>
            <w:r>
              <w:rPr>
                <w:sz w:val="24"/>
                <w:szCs w:val="24"/>
              </w:rPr>
              <w:t>熟悉招标人</w:t>
            </w:r>
            <w:r>
              <w:rPr>
                <w:rFonts w:hint="eastAsia"/>
                <w:sz w:val="24"/>
                <w:szCs w:val="24"/>
              </w:rPr>
              <w:t>现场环境；</w:t>
            </w:r>
          </w:p>
          <w:p>
            <w:pPr>
              <w:adjustRightInd w:val="0"/>
              <w:snapToGrid w:val="0"/>
              <w:ind w:firstLine="120" w:firstLineChars="50"/>
              <w:rPr>
                <w:sz w:val="24"/>
                <w:szCs w:val="24"/>
              </w:rPr>
            </w:pPr>
            <w:r>
              <w:rPr>
                <w:rFonts w:hint="eastAsia"/>
                <w:sz w:val="24"/>
                <w:szCs w:val="24"/>
              </w:rPr>
              <w:t>6.投标人按照招标人的要求将金泰路道路改造工程聚合物注浆加固处理，要求采用</w:t>
            </w:r>
            <w:r>
              <w:rPr>
                <w:sz w:val="24"/>
                <w:szCs w:val="24"/>
              </w:rPr>
              <w:t>梅花型布孔，注浆深度约120cm，注浆量40-60kg/m²，孔距150cm，孔径50mm</w:t>
            </w:r>
          </w:p>
          <w:p>
            <w:pPr>
              <w:adjustRightInd w:val="0"/>
              <w:snapToGrid w:val="0"/>
              <w:ind w:firstLine="120" w:firstLineChars="50"/>
              <w:rPr>
                <w:sz w:val="24"/>
                <w:szCs w:val="24"/>
              </w:rPr>
            </w:pPr>
            <w:r>
              <w:rPr>
                <w:rFonts w:hint="eastAsia"/>
                <w:sz w:val="24"/>
                <w:szCs w:val="24"/>
              </w:rPr>
              <w:t>7. 注浆工期满足建设单位及招标人的要求；</w:t>
            </w:r>
          </w:p>
          <w:p>
            <w:pPr>
              <w:adjustRightInd w:val="0"/>
              <w:snapToGrid w:val="0"/>
              <w:ind w:firstLine="120" w:firstLineChars="50"/>
              <w:rPr>
                <w:rFonts w:hint="eastAsia"/>
                <w:sz w:val="24"/>
                <w:szCs w:val="24"/>
              </w:rPr>
            </w:pPr>
            <w:r>
              <w:rPr>
                <w:rFonts w:hint="eastAsia"/>
                <w:sz w:val="24"/>
                <w:szCs w:val="24"/>
              </w:rPr>
              <w:t>8.投标人需配备符合服务要求的机械设备，能够顺利执行招标方的服务要求</w:t>
            </w:r>
            <w:bookmarkStart w:id="0" w:name="EB795262e73240457ca73f680f68de8c5a"/>
            <w:bookmarkEnd w:id="0"/>
            <w:r>
              <w:rPr>
                <w:rFonts w:hint="eastAsia"/>
                <w:sz w:val="24"/>
                <w:szCs w:val="24"/>
              </w:rPr>
              <w:t>；</w:t>
            </w:r>
          </w:p>
          <w:p>
            <w:pPr>
              <w:adjustRightInd w:val="0"/>
              <w:snapToGrid w:val="0"/>
              <w:ind w:firstLine="120" w:firstLineChars="50"/>
              <w:rPr>
                <w:sz w:val="24"/>
                <w:szCs w:val="24"/>
              </w:rPr>
            </w:pPr>
            <w:r>
              <w:rPr>
                <w:rFonts w:hint="eastAsia"/>
                <w:sz w:val="24"/>
                <w:szCs w:val="24"/>
              </w:rPr>
              <w:t>9、投标人中标后自行负责现场安全文明施工，招标人进行监督管理。在施工承包期间，若发生人员伤亡、财产损失及各类意外事故等，均由中标人承担全部责任，由此发生的一切费用均由中标人负担。</w:t>
            </w:r>
          </w:p>
          <w:p>
            <w:pPr>
              <w:adjustRightInd w:val="0"/>
              <w:snapToGrid w:val="0"/>
              <w:ind w:firstLine="120" w:firstLineChars="50"/>
              <w:rPr>
                <w:sz w:val="24"/>
                <w:szCs w:val="24"/>
              </w:rPr>
            </w:pPr>
            <w:r>
              <w:rPr>
                <w:rFonts w:hint="eastAsia"/>
                <w:sz w:val="24"/>
                <w:szCs w:val="24"/>
              </w:rPr>
              <w:t>10、投标人中标后须在现场配备相关固定工作人员1-2名，负责接收招标人的相关指令及现场工程资料的制作、完善、报送、归档；</w:t>
            </w:r>
          </w:p>
          <w:p>
            <w:pPr>
              <w:adjustRightInd w:val="0"/>
              <w:snapToGrid w:val="0"/>
              <w:ind w:firstLine="120" w:firstLineChars="50"/>
              <w:rPr>
                <w:sz w:val="24"/>
                <w:szCs w:val="24"/>
              </w:rPr>
            </w:pPr>
            <w:r>
              <w:rPr>
                <w:rFonts w:hint="eastAsia"/>
                <w:sz w:val="24"/>
                <w:szCs w:val="24"/>
              </w:rPr>
              <w:t>11、投标人中标后须按扬州市及建设单位的疫情防控的要求进场施工；</w:t>
            </w:r>
          </w:p>
          <w:p>
            <w:pPr>
              <w:adjustRightInd w:val="0"/>
              <w:snapToGrid w:val="0"/>
              <w:ind w:firstLine="120" w:firstLineChars="50"/>
              <w:rPr>
                <w:sz w:val="24"/>
                <w:szCs w:val="24"/>
              </w:rPr>
            </w:pPr>
            <w:r>
              <w:rPr>
                <w:rFonts w:hint="eastAsia"/>
                <w:sz w:val="24"/>
                <w:szCs w:val="24"/>
              </w:rPr>
              <w:t>12、投标人中标后须按扬州市工程施工扬尘防控要求和扬州市上善建设工程有限公司扬尘防控要求施工。</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730" w:type="dxa"/>
            <w:vAlign w:val="center"/>
          </w:tcPr>
          <w:p>
            <w:pPr>
              <w:adjustRightInd w:val="0"/>
              <w:snapToGrid w:val="0"/>
              <w:jc w:val="center"/>
              <w:rPr>
                <w:sz w:val="24"/>
                <w:szCs w:val="24"/>
              </w:rPr>
            </w:pPr>
            <w:r>
              <w:rPr>
                <w:sz w:val="24"/>
                <w:szCs w:val="24"/>
              </w:rPr>
              <w:t>10</w:t>
            </w:r>
          </w:p>
        </w:tc>
        <w:tc>
          <w:tcPr>
            <w:tcW w:w="1771" w:type="dxa"/>
            <w:vAlign w:val="center"/>
          </w:tcPr>
          <w:p>
            <w:pPr>
              <w:adjustRightInd w:val="0"/>
              <w:snapToGrid w:val="0"/>
              <w:jc w:val="center"/>
              <w:rPr>
                <w:sz w:val="24"/>
                <w:szCs w:val="24"/>
              </w:rPr>
            </w:pPr>
            <w:r>
              <w:rPr>
                <w:rFonts w:hint="eastAsia"/>
                <w:sz w:val="24"/>
                <w:szCs w:val="24"/>
              </w:rPr>
              <w:t>招标内容及限价</w:t>
            </w:r>
          </w:p>
        </w:tc>
        <w:tc>
          <w:tcPr>
            <w:tcW w:w="6627" w:type="dxa"/>
            <w:vAlign w:val="center"/>
          </w:tcPr>
          <w:p>
            <w:pPr>
              <w:adjustRightInd w:val="0"/>
              <w:snapToGrid w:val="0"/>
              <w:rPr>
                <w:rFonts w:hint="default" w:eastAsia="宋体"/>
                <w:sz w:val="24"/>
                <w:szCs w:val="24"/>
                <w:lang w:val="en-US" w:eastAsia="zh-CN"/>
              </w:rPr>
            </w:pPr>
            <w:r>
              <w:rPr>
                <w:rFonts w:hint="eastAsia"/>
                <w:sz w:val="24"/>
                <w:szCs w:val="24"/>
              </w:rPr>
              <w:t>注浆量约为</w:t>
            </w:r>
            <w:r>
              <w:rPr>
                <w:rFonts w:hint="eastAsia"/>
                <w:sz w:val="24"/>
                <w:szCs w:val="24"/>
                <w:lang w:val="en-US" w:eastAsia="zh-CN"/>
              </w:rPr>
              <w:t>40</w:t>
            </w:r>
            <w:r>
              <w:rPr>
                <w:rFonts w:hint="eastAsia"/>
                <w:sz w:val="24"/>
                <w:szCs w:val="24"/>
              </w:rPr>
              <w:t>00平方</w:t>
            </w:r>
            <w:r>
              <w:rPr>
                <w:rFonts w:hint="eastAsia"/>
                <w:sz w:val="24"/>
                <w:szCs w:val="24"/>
                <w:lang w:eastAsia="zh-CN"/>
              </w:rPr>
              <w:t>（</w:t>
            </w:r>
            <w:r>
              <w:rPr>
                <w:rFonts w:hint="eastAsia"/>
                <w:sz w:val="24"/>
                <w:szCs w:val="24"/>
                <w:lang w:val="en-US" w:eastAsia="zh-CN"/>
              </w:rPr>
              <w:t>普通</w:t>
            </w:r>
            <w:r>
              <w:rPr>
                <w:rFonts w:hint="eastAsia"/>
                <w:sz w:val="24"/>
                <w:szCs w:val="24"/>
                <w:lang w:eastAsia="zh-CN"/>
              </w:rPr>
              <w:t>），</w:t>
            </w:r>
            <w:r>
              <w:rPr>
                <w:rFonts w:hint="eastAsia"/>
                <w:sz w:val="24"/>
                <w:szCs w:val="24"/>
                <w:lang w:val="en-US" w:eastAsia="zh-CN"/>
              </w:rPr>
              <w:t>1600平方（快凝）</w:t>
            </w:r>
            <w:r>
              <w:rPr>
                <w:rFonts w:hint="eastAsia"/>
                <w:sz w:val="24"/>
                <w:szCs w:val="24"/>
              </w:rPr>
              <w:t>；</w:t>
            </w:r>
          </w:p>
          <w:p>
            <w:pPr>
              <w:adjustRightInd w:val="0"/>
              <w:snapToGrid w:val="0"/>
              <w:rPr>
                <w:rFonts w:hint="default" w:eastAsia="宋体"/>
                <w:b/>
                <w:sz w:val="24"/>
                <w:szCs w:val="24"/>
                <w:u w:val="single"/>
                <w:lang w:val="en-US" w:eastAsia="zh-CN"/>
              </w:rPr>
            </w:pPr>
            <w:r>
              <w:rPr>
                <w:rFonts w:hint="eastAsia"/>
                <w:sz w:val="24"/>
                <w:szCs w:val="24"/>
              </w:rPr>
              <w:t xml:space="preserve">最高限价 </w:t>
            </w:r>
            <w:r>
              <w:rPr>
                <w:rFonts w:hint="eastAsia"/>
                <w:sz w:val="24"/>
                <w:szCs w:val="24"/>
                <w:lang w:val="en-US" w:eastAsia="zh-CN"/>
              </w:rPr>
              <w:t>普通型</w:t>
            </w:r>
            <w:r>
              <w:rPr>
                <w:rFonts w:hint="eastAsia"/>
                <w:sz w:val="24"/>
                <w:szCs w:val="24"/>
              </w:rPr>
              <w:t>90元/平方（含9%税）</w:t>
            </w:r>
            <w:r>
              <w:rPr>
                <w:rFonts w:hint="eastAsia"/>
                <w:sz w:val="24"/>
                <w:szCs w:val="24"/>
                <w:lang w:eastAsia="zh-CN"/>
              </w:rPr>
              <w:t>，</w:t>
            </w:r>
            <w:r>
              <w:rPr>
                <w:rFonts w:hint="eastAsia"/>
                <w:sz w:val="24"/>
                <w:szCs w:val="24"/>
                <w:lang w:val="en-US" w:eastAsia="zh-CN"/>
              </w:rPr>
              <w:t>快凝型110元/</w:t>
            </w:r>
            <w:r>
              <w:rPr>
                <w:rFonts w:hint="eastAsia"/>
                <w:sz w:val="24"/>
                <w:szCs w:val="24"/>
              </w:rPr>
              <w:t>平方（含9%税）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730" w:type="dxa"/>
            <w:vAlign w:val="center"/>
          </w:tcPr>
          <w:p>
            <w:pPr>
              <w:adjustRightInd w:val="0"/>
              <w:snapToGrid w:val="0"/>
              <w:jc w:val="center"/>
              <w:rPr>
                <w:sz w:val="24"/>
                <w:szCs w:val="24"/>
              </w:rPr>
            </w:pPr>
            <w:r>
              <w:rPr>
                <w:sz w:val="24"/>
                <w:szCs w:val="24"/>
              </w:rPr>
              <w:t>11</w:t>
            </w:r>
          </w:p>
        </w:tc>
        <w:tc>
          <w:tcPr>
            <w:tcW w:w="1771" w:type="dxa"/>
            <w:vAlign w:val="center"/>
          </w:tcPr>
          <w:p>
            <w:pPr>
              <w:adjustRightInd w:val="0"/>
              <w:snapToGrid w:val="0"/>
              <w:jc w:val="center"/>
              <w:rPr>
                <w:sz w:val="24"/>
                <w:szCs w:val="24"/>
              </w:rPr>
            </w:pPr>
            <w:r>
              <w:rPr>
                <w:sz w:val="24"/>
                <w:szCs w:val="24"/>
              </w:rPr>
              <w:t>投标文件编制</w:t>
            </w:r>
          </w:p>
        </w:tc>
        <w:tc>
          <w:tcPr>
            <w:tcW w:w="6627" w:type="dxa"/>
            <w:vAlign w:val="center"/>
          </w:tcPr>
          <w:p>
            <w:pPr>
              <w:shd w:val="clear" w:color="auto" w:fill="FFFFFF"/>
              <w:adjustRightInd w:val="0"/>
              <w:snapToGrid w:val="0"/>
              <w:ind w:firstLine="480" w:firstLineChars="200"/>
              <w:rPr>
                <w:sz w:val="24"/>
                <w:szCs w:val="24"/>
              </w:rPr>
            </w:pPr>
            <w:r>
              <w:rPr>
                <w:sz w:val="24"/>
                <w:szCs w:val="24"/>
              </w:rPr>
              <w:t>投标文件一份，</w:t>
            </w:r>
          </w:p>
          <w:p>
            <w:pPr>
              <w:pStyle w:val="31"/>
              <w:numPr>
                <w:ilvl w:val="0"/>
                <w:numId w:val="2"/>
              </w:numPr>
              <w:shd w:val="clear" w:color="auto" w:fill="FFFFFF"/>
              <w:adjustRightInd w:val="0"/>
              <w:snapToGrid w:val="0"/>
              <w:ind w:firstLineChars="0"/>
              <w:rPr>
                <w:rFonts w:ascii="Times New Roman" w:hAnsi="Times New Roman"/>
                <w:sz w:val="24"/>
                <w:szCs w:val="24"/>
              </w:rPr>
            </w:pPr>
            <w:r>
              <w:rPr>
                <w:rFonts w:hint="eastAsia" w:ascii="Times New Roman" w:hAnsi="Times New Roman"/>
                <w:sz w:val="24"/>
                <w:szCs w:val="24"/>
              </w:rPr>
              <w:t>响应函</w:t>
            </w:r>
          </w:p>
          <w:p>
            <w:pPr>
              <w:pStyle w:val="31"/>
              <w:numPr>
                <w:ilvl w:val="0"/>
                <w:numId w:val="2"/>
              </w:numPr>
              <w:shd w:val="clear" w:color="auto" w:fill="FFFFFF"/>
              <w:tabs>
                <w:tab w:val="left" w:pos="5461"/>
              </w:tabs>
              <w:adjustRightInd w:val="0"/>
              <w:snapToGrid w:val="0"/>
              <w:ind w:firstLineChars="0"/>
              <w:rPr>
                <w:rFonts w:ascii="Times New Roman" w:hAnsi="Times New Roman"/>
                <w:sz w:val="24"/>
                <w:szCs w:val="24"/>
              </w:rPr>
            </w:pPr>
            <w:r>
              <w:rPr>
                <w:rFonts w:hint="eastAsia" w:ascii="Times New Roman" w:hAnsi="Times New Roman"/>
                <w:sz w:val="24"/>
                <w:szCs w:val="24"/>
              </w:rPr>
              <w:t>法定代表人证明书</w:t>
            </w:r>
            <w:r>
              <w:rPr>
                <w:rFonts w:hint="eastAsia" w:ascii="Times New Roman" w:hAnsi="Times New Roman"/>
                <w:sz w:val="24"/>
                <w:szCs w:val="24"/>
                <w:lang w:eastAsia="zh-CN"/>
              </w:rPr>
              <w:tab/>
            </w:r>
          </w:p>
          <w:p>
            <w:pPr>
              <w:pStyle w:val="31"/>
              <w:numPr>
                <w:ilvl w:val="0"/>
                <w:numId w:val="2"/>
              </w:numPr>
              <w:shd w:val="clear" w:color="auto" w:fill="FFFFFF"/>
              <w:adjustRightInd w:val="0"/>
              <w:snapToGrid w:val="0"/>
              <w:ind w:firstLineChars="0"/>
              <w:rPr>
                <w:rFonts w:ascii="Times New Roman" w:hAnsi="Times New Roman"/>
                <w:sz w:val="24"/>
                <w:szCs w:val="24"/>
              </w:rPr>
            </w:pPr>
            <w:r>
              <w:rPr>
                <w:rFonts w:hint="eastAsia" w:ascii="Times New Roman" w:hAnsi="Times New Roman"/>
                <w:sz w:val="24"/>
                <w:szCs w:val="24"/>
              </w:rPr>
              <w:t>法人授权委托书（若</w:t>
            </w:r>
            <w:r>
              <w:rPr>
                <w:rFonts w:hint="eastAsia" w:ascii="Times New Roman" w:hAnsi="Times New Roman"/>
                <w:sz w:val="24"/>
                <w:szCs w:val="24"/>
                <w:lang w:val="en-US" w:eastAsia="zh-CN"/>
              </w:rPr>
              <w:t xml:space="preserve"> </w:t>
            </w:r>
            <w:r>
              <w:rPr>
                <w:rFonts w:hint="eastAsia" w:ascii="Times New Roman" w:hAnsi="Times New Roman"/>
                <w:sz w:val="24"/>
                <w:szCs w:val="24"/>
              </w:rPr>
              <w:t>由法定代表人投标可不提供此文本）</w:t>
            </w:r>
          </w:p>
          <w:p>
            <w:pPr>
              <w:pStyle w:val="31"/>
              <w:numPr>
                <w:ilvl w:val="0"/>
                <w:numId w:val="2"/>
              </w:numPr>
              <w:shd w:val="clear" w:color="auto" w:fill="FFFFFF"/>
              <w:adjustRightInd w:val="0"/>
              <w:snapToGrid w:val="0"/>
              <w:ind w:firstLineChars="0"/>
              <w:rPr>
                <w:rFonts w:ascii="Times New Roman" w:hAnsi="Times New Roman"/>
                <w:color w:val="C00000"/>
                <w:sz w:val="24"/>
                <w:szCs w:val="24"/>
              </w:rPr>
            </w:pPr>
            <w:r>
              <w:rPr>
                <w:rFonts w:ascii="Times New Roman" w:hAnsi="Times New Roman"/>
                <w:color w:val="C00000"/>
                <w:sz w:val="24"/>
                <w:szCs w:val="24"/>
              </w:rPr>
              <w:t>投标人</w:t>
            </w:r>
            <w:r>
              <w:rPr>
                <w:rFonts w:hint="eastAsia" w:ascii="Times New Roman" w:hAnsi="Times New Roman"/>
                <w:color w:val="C00000"/>
                <w:sz w:val="24"/>
                <w:szCs w:val="24"/>
              </w:rPr>
              <w:t>资信证明</w:t>
            </w:r>
          </w:p>
          <w:p>
            <w:pPr>
              <w:pStyle w:val="31"/>
              <w:numPr>
                <w:ilvl w:val="0"/>
                <w:numId w:val="2"/>
              </w:numPr>
              <w:shd w:val="clear" w:color="auto" w:fill="FFFFFF"/>
              <w:adjustRightInd w:val="0"/>
              <w:snapToGrid w:val="0"/>
              <w:ind w:firstLineChars="0"/>
              <w:rPr>
                <w:rFonts w:ascii="Times New Roman" w:hAnsi="Times New Roman"/>
                <w:sz w:val="24"/>
                <w:szCs w:val="24"/>
              </w:rPr>
            </w:pPr>
            <w:r>
              <w:rPr>
                <w:rFonts w:hint="eastAsia" w:ascii="Times New Roman" w:hAnsi="Times New Roman"/>
                <w:sz w:val="24"/>
                <w:szCs w:val="24"/>
              </w:rPr>
              <w:t>投标报价书</w:t>
            </w:r>
          </w:p>
          <w:p>
            <w:pPr>
              <w:pStyle w:val="31"/>
              <w:numPr>
                <w:ilvl w:val="0"/>
                <w:numId w:val="2"/>
              </w:numPr>
              <w:shd w:val="clear" w:color="auto" w:fill="FFFFFF"/>
              <w:adjustRightInd w:val="0"/>
              <w:snapToGrid w:val="0"/>
              <w:ind w:firstLineChars="0"/>
              <w:rPr>
                <w:rFonts w:ascii="Times New Roman" w:hAnsi="Times New Roman"/>
                <w:sz w:val="24"/>
                <w:szCs w:val="24"/>
              </w:rPr>
            </w:pPr>
            <w:r>
              <w:rPr>
                <w:rFonts w:hint="eastAsia" w:ascii="Times New Roman" w:hAnsi="Times New Roman"/>
                <w:sz w:val="24"/>
                <w:szCs w:val="24"/>
              </w:rPr>
              <w:t>其它相关资料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730" w:type="dxa"/>
            <w:vAlign w:val="center"/>
          </w:tcPr>
          <w:p>
            <w:pPr>
              <w:adjustRightInd w:val="0"/>
              <w:snapToGrid w:val="0"/>
              <w:jc w:val="center"/>
              <w:rPr>
                <w:sz w:val="24"/>
                <w:szCs w:val="24"/>
              </w:rPr>
            </w:pPr>
            <w:r>
              <w:rPr>
                <w:sz w:val="24"/>
                <w:szCs w:val="24"/>
              </w:rPr>
              <w:t>12</w:t>
            </w:r>
          </w:p>
        </w:tc>
        <w:tc>
          <w:tcPr>
            <w:tcW w:w="1771" w:type="dxa"/>
            <w:vAlign w:val="center"/>
          </w:tcPr>
          <w:p>
            <w:pPr>
              <w:adjustRightInd w:val="0"/>
              <w:snapToGrid w:val="0"/>
              <w:jc w:val="center"/>
              <w:rPr>
                <w:sz w:val="24"/>
                <w:szCs w:val="24"/>
              </w:rPr>
            </w:pPr>
            <w:r>
              <w:rPr>
                <w:sz w:val="24"/>
                <w:szCs w:val="24"/>
              </w:rPr>
              <w:t>投标文件</w:t>
            </w:r>
          </w:p>
          <w:p>
            <w:pPr>
              <w:adjustRightInd w:val="0"/>
              <w:snapToGrid w:val="0"/>
              <w:jc w:val="center"/>
              <w:rPr>
                <w:sz w:val="24"/>
                <w:szCs w:val="24"/>
              </w:rPr>
            </w:pPr>
            <w:r>
              <w:rPr>
                <w:sz w:val="24"/>
                <w:szCs w:val="24"/>
              </w:rPr>
              <w:t>封套上写明</w:t>
            </w:r>
          </w:p>
        </w:tc>
        <w:tc>
          <w:tcPr>
            <w:tcW w:w="6627" w:type="dxa"/>
            <w:vAlign w:val="center"/>
          </w:tcPr>
          <w:p>
            <w:pPr>
              <w:adjustRightInd w:val="0"/>
              <w:snapToGrid w:val="0"/>
              <w:ind w:firstLine="1200" w:firstLineChars="500"/>
              <w:rPr>
                <w:sz w:val="24"/>
                <w:szCs w:val="24"/>
              </w:rPr>
            </w:pPr>
            <w:r>
              <w:rPr>
                <w:sz w:val="24"/>
                <w:szCs w:val="24"/>
              </w:rPr>
              <w:t>招标人名称：</w:t>
            </w:r>
          </w:p>
          <w:p>
            <w:pPr>
              <w:pStyle w:val="11"/>
              <w:adjustRightInd w:val="0"/>
              <w:snapToGrid w:val="0"/>
              <w:ind w:firstLine="1200" w:firstLineChars="500"/>
              <w:rPr>
                <w:sz w:val="24"/>
                <w:szCs w:val="24"/>
              </w:rPr>
            </w:pPr>
            <w:r>
              <w:rPr>
                <w:rFonts w:hint="eastAsia"/>
                <w:sz w:val="24"/>
                <w:szCs w:val="24"/>
              </w:rPr>
              <w:t>投标项目：</w:t>
            </w:r>
          </w:p>
          <w:p>
            <w:pPr>
              <w:pStyle w:val="11"/>
              <w:adjustRightInd w:val="0"/>
              <w:snapToGrid w:val="0"/>
              <w:ind w:firstLine="1200" w:firstLineChars="500"/>
              <w:rPr>
                <w:sz w:val="24"/>
                <w:szCs w:val="24"/>
                <w:u w:val="single"/>
              </w:rPr>
            </w:pPr>
            <w:r>
              <w:rPr>
                <w:sz w:val="24"/>
                <w:szCs w:val="24"/>
              </w:rPr>
              <w:t>投标人名称（加盖公章）：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730" w:type="dxa"/>
            <w:vAlign w:val="center"/>
          </w:tcPr>
          <w:p>
            <w:pPr>
              <w:adjustRightInd w:val="0"/>
              <w:snapToGrid w:val="0"/>
              <w:jc w:val="center"/>
              <w:rPr>
                <w:sz w:val="24"/>
                <w:szCs w:val="24"/>
              </w:rPr>
            </w:pPr>
            <w:r>
              <w:rPr>
                <w:sz w:val="24"/>
                <w:szCs w:val="24"/>
              </w:rPr>
              <w:t>13</w:t>
            </w:r>
          </w:p>
        </w:tc>
        <w:tc>
          <w:tcPr>
            <w:tcW w:w="1771" w:type="dxa"/>
            <w:vAlign w:val="center"/>
          </w:tcPr>
          <w:p>
            <w:pPr>
              <w:adjustRightInd w:val="0"/>
              <w:snapToGrid w:val="0"/>
              <w:jc w:val="center"/>
              <w:rPr>
                <w:sz w:val="24"/>
                <w:szCs w:val="24"/>
              </w:rPr>
            </w:pPr>
            <w:r>
              <w:rPr>
                <w:sz w:val="24"/>
                <w:szCs w:val="24"/>
              </w:rPr>
              <w:t>招标文件</w:t>
            </w:r>
            <w:r>
              <w:rPr>
                <w:rFonts w:hint="eastAsia"/>
                <w:sz w:val="24"/>
                <w:szCs w:val="24"/>
              </w:rPr>
              <w:t>获取方式及联系人</w:t>
            </w:r>
          </w:p>
        </w:tc>
        <w:tc>
          <w:tcPr>
            <w:tcW w:w="6627" w:type="dxa"/>
            <w:vAlign w:val="center"/>
          </w:tcPr>
          <w:p>
            <w:pPr>
              <w:adjustRightInd w:val="0"/>
              <w:snapToGrid w:val="0"/>
              <w:rPr>
                <w:color w:val="000000"/>
                <w:sz w:val="24"/>
                <w:szCs w:val="24"/>
              </w:rPr>
            </w:pPr>
            <w:r>
              <w:rPr>
                <w:rFonts w:hint="eastAsia"/>
                <w:color w:val="000000"/>
                <w:sz w:val="24"/>
                <w:szCs w:val="24"/>
                <w:u w:val="single"/>
              </w:rPr>
              <w:t>自取,</w:t>
            </w:r>
            <w:r>
              <w:rPr>
                <w:color w:val="000000"/>
                <w:sz w:val="24"/>
                <w:szCs w:val="24"/>
                <w:u w:val="single"/>
              </w:rPr>
              <w:t>联系人：</w:t>
            </w:r>
            <w:r>
              <w:rPr>
                <w:rFonts w:hint="eastAsia"/>
                <w:color w:val="000000"/>
                <w:sz w:val="24"/>
                <w:szCs w:val="24"/>
                <w:u w:val="single"/>
              </w:rPr>
              <w:t>陈佩；联系电话：18952758166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730" w:type="dxa"/>
            <w:vAlign w:val="center"/>
          </w:tcPr>
          <w:p>
            <w:pPr>
              <w:adjustRightInd w:val="0"/>
              <w:snapToGrid w:val="0"/>
              <w:jc w:val="center"/>
              <w:rPr>
                <w:sz w:val="24"/>
                <w:szCs w:val="24"/>
              </w:rPr>
            </w:pPr>
            <w:r>
              <w:rPr>
                <w:sz w:val="24"/>
                <w:szCs w:val="24"/>
              </w:rPr>
              <w:t>14</w:t>
            </w:r>
          </w:p>
        </w:tc>
        <w:tc>
          <w:tcPr>
            <w:tcW w:w="1771" w:type="dxa"/>
            <w:vAlign w:val="center"/>
          </w:tcPr>
          <w:p>
            <w:pPr>
              <w:adjustRightInd w:val="0"/>
              <w:snapToGrid w:val="0"/>
              <w:jc w:val="center"/>
              <w:rPr>
                <w:sz w:val="24"/>
                <w:szCs w:val="24"/>
              </w:rPr>
            </w:pPr>
            <w:r>
              <w:rPr>
                <w:sz w:val="24"/>
                <w:szCs w:val="24"/>
              </w:rPr>
              <w:t>投标</w:t>
            </w:r>
            <w:r>
              <w:rPr>
                <w:rFonts w:hint="eastAsia"/>
                <w:sz w:val="24"/>
                <w:szCs w:val="24"/>
              </w:rPr>
              <w:t>人报名时间及报名地点</w:t>
            </w:r>
          </w:p>
        </w:tc>
        <w:tc>
          <w:tcPr>
            <w:tcW w:w="6627" w:type="dxa"/>
            <w:vAlign w:val="center"/>
          </w:tcPr>
          <w:p>
            <w:pPr>
              <w:adjustRightInd w:val="0"/>
              <w:snapToGrid w:val="0"/>
              <w:jc w:val="center"/>
              <w:rPr>
                <w:sz w:val="24"/>
                <w:szCs w:val="24"/>
              </w:rPr>
            </w:pPr>
            <w:r>
              <w:rPr>
                <w:rFonts w:hint="eastAsia"/>
                <w:sz w:val="24"/>
                <w:szCs w:val="24"/>
              </w:rPr>
              <w:t>报名时间</w:t>
            </w:r>
            <w:r>
              <w:rPr>
                <w:sz w:val="24"/>
                <w:szCs w:val="24"/>
              </w:rPr>
              <w:t>：</w:t>
            </w:r>
          </w:p>
          <w:p>
            <w:pPr>
              <w:adjustRightInd w:val="0"/>
              <w:snapToGrid w:val="0"/>
              <w:jc w:val="center"/>
              <w:rPr>
                <w:b/>
                <w:color w:val="FF0000"/>
                <w:sz w:val="24"/>
                <w:szCs w:val="24"/>
              </w:rPr>
            </w:pPr>
            <w:r>
              <w:rPr>
                <w:rFonts w:hint="eastAsia"/>
                <w:sz w:val="24"/>
                <w:szCs w:val="24"/>
              </w:rPr>
              <w:t>报名地点：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30" w:type="dxa"/>
            <w:vAlign w:val="center"/>
          </w:tcPr>
          <w:p>
            <w:pPr>
              <w:adjustRightInd w:val="0"/>
              <w:snapToGrid w:val="0"/>
              <w:jc w:val="center"/>
              <w:rPr>
                <w:sz w:val="24"/>
                <w:szCs w:val="24"/>
              </w:rPr>
            </w:pPr>
            <w:r>
              <w:rPr>
                <w:sz w:val="24"/>
                <w:szCs w:val="24"/>
              </w:rPr>
              <w:t>15</w:t>
            </w:r>
          </w:p>
        </w:tc>
        <w:tc>
          <w:tcPr>
            <w:tcW w:w="1771" w:type="dxa"/>
            <w:vAlign w:val="center"/>
          </w:tcPr>
          <w:p>
            <w:pPr>
              <w:adjustRightInd w:val="0"/>
              <w:snapToGrid w:val="0"/>
              <w:jc w:val="center"/>
              <w:rPr>
                <w:sz w:val="24"/>
                <w:szCs w:val="24"/>
              </w:rPr>
            </w:pPr>
            <w:r>
              <w:rPr>
                <w:sz w:val="24"/>
                <w:szCs w:val="24"/>
              </w:rPr>
              <w:t>开标时间和地点</w:t>
            </w:r>
          </w:p>
        </w:tc>
        <w:tc>
          <w:tcPr>
            <w:tcW w:w="6627" w:type="dxa"/>
            <w:vAlign w:val="center"/>
          </w:tcPr>
          <w:p>
            <w:pPr>
              <w:pStyle w:val="11"/>
              <w:adjustRightInd w:val="0"/>
              <w:snapToGrid w:val="0"/>
              <w:jc w:val="center"/>
              <w:rPr>
                <w:color w:val="000000"/>
                <w:sz w:val="24"/>
                <w:szCs w:val="24"/>
              </w:rPr>
            </w:pPr>
            <w:r>
              <w:rPr>
                <w:rFonts w:hint="eastAsia"/>
                <w:sz w:val="24"/>
                <w:szCs w:val="24"/>
              </w:rPr>
              <w:t>招标人另行通知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730" w:type="dxa"/>
            <w:vAlign w:val="center"/>
          </w:tcPr>
          <w:p>
            <w:pPr>
              <w:adjustRightInd w:val="0"/>
              <w:snapToGrid w:val="0"/>
              <w:jc w:val="center"/>
              <w:rPr>
                <w:sz w:val="24"/>
                <w:szCs w:val="24"/>
              </w:rPr>
            </w:pPr>
            <w:r>
              <w:rPr>
                <w:rFonts w:hint="eastAsia"/>
                <w:sz w:val="24"/>
                <w:szCs w:val="24"/>
              </w:rPr>
              <w:t>16</w:t>
            </w:r>
          </w:p>
        </w:tc>
        <w:tc>
          <w:tcPr>
            <w:tcW w:w="1771" w:type="dxa"/>
            <w:vAlign w:val="center"/>
          </w:tcPr>
          <w:p>
            <w:pPr>
              <w:adjustRightInd w:val="0"/>
              <w:snapToGrid w:val="0"/>
              <w:rPr>
                <w:sz w:val="24"/>
                <w:szCs w:val="24"/>
              </w:rPr>
            </w:pPr>
            <w:r>
              <w:rPr>
                <w:rFonts w:hint="eastAsia"/>
                <w:sz w:val="24"/>
                <w:szCs w:val="24"/>
              </w:rPr>
              <w:t>投标报价方式</w:t>
            </w:r>
          </w:p>
        </w:tc>
        <w:tc>
          <w:tcPr>
            <w:tcW w:w="6627" w:type="dxa"/>
            <w:vAlign w:val="center"/>
          </w:tcPr>
          <w:p>
            <w:pPr>
              <w:adjustRightInd w:val="0"/>
              <w:snapToGrid w:val="0"/>
              <w:ind w:firstLine="480" w:firstLineChars="200"/>
              <w:rPr>
                <w:sz w:val="24"/>
                <w:szCs w:val="24"/>
              </w:rPr>
            </w:pPr>
            <w:r>
              <w:rPr>
                <w:rFonts w:hint="eastAsia"/>
                <w:sz w:val="24"/>
                <w:szCs w:val="24"/>
              </w:rPr>
              <w:t>固定单价报价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730" w:type="dxa"/>
            <w:vAlign w:val="center"/>
          </w:tcPr>
          <w:p>
            <w:pPr>
              <w:adjustRightInd w:val="0"/>
              <w:snapToGrid w:val="0"/>
              <w:jc w:val="center"/>
              <w:rPr>
                <w:sz w:val="24"/>
                <w:szCs w:val="24"/>
              </w:rPr>
            </w:pPr>
            <w:r>
              <w:rPr>
                <w:sz w:val="24"/>
                <w:szCs w:val="24"/>
              </w:rPr>
              <w:t>1</w:t>
            </w:r>
            <w:r>
              <w:rPr>
                <w:rFonts w:hint="eastAsia"/>
                <w:sz w:val="24"/>
                <w:szCs w:val="24"/>
              </w:rPr>
              <w:t>7</w:t>
            </w:r>
          </w:p>
        </w:tc>
        <w:tc>
          <w:tcPr>
            <w:tcW w:w="1771" w:type="dxa"/>
            <w:vAlign w:val="center"/>
          </w:tcPr>
          <w:p>
            <w:pPr>
              <w:adjustRightInd w:val="0"/>
              <w:snapToGrid w:val="0"/>
              <w:ind w:firstLine="480" w:firstLineChars="200"/>
              <w:rPr>
                <w:sz w:val="24"/>
                <w:szCs w:val="24"/>
              </w:rPr>
            </w:pPr>
            <w:r>
              <w:rPr>
                <w:sz w:val="24"/>
                <w:szCs w:val="24"/>
              </w:rPr>
              <w:t>评标方法</w:t>
            </w:r>
          </w:p>
        </w:tc>
        <w:tc>
          <w:tcPr>
            <w:tcW w:w="6627" w:type="dxa"/>
            <w:vAlign w:val="center"/>
          </w:tcPr>
          <w:p>
            <w:pPr>
              <w:adjustRightInd w:val="0"/>
              <w:snapToGrid w:val="0"/>
              <w:ind w:firstLine="480" w:firstLineChars="200"/>
              <w:rPr>
                <w:sz w:val="24"/>
                <w:szCs w:val="24"/>
              </w:rPr>
            </w:pPr>
            <w:r>
              <w:rPr>
                <w:rFonts w:hint="eastAsia"/>
                <w:sz w:val="24"/>
                <w:szCs w:val="24"/>
              </w:rPr>
              <w:t>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30" w:type="dxa"/>
            <w:vAlign w:val="center"/>
          </w:tcPr>
          <w:p>
            <w:pPr>
              <w:adjustRightInd w:val="0"/>
              <w:snapToGrid w:val="0"/>
              <w:jc w:val="center"/>
              <w:rPr>
                <w:sz w:val="24"/>
                <w:szCs w:val="24"/>
              </w:rPr>
            </w:pPr>
            <w:r>
              <w:rPr>
                <w:sz w:val="24"/>
                <w:szCs w:val="24"/>
              </w:rPr>
              <w:t>1</w:t>
            </w:r>
            <w:r>
              <w:rPr>
                <w:rFonts w:hint="eastAsia"/>
                <w:sz w:val="24"/>
                <w:szCs w:val="24"/>
              </w:rPr>
              <w:t>8</w:t>
            </w:r>
          </w:p>
        </w:tc>
        <w:tc>
          <w:tcPr>
            <w:tcW w:w="1771" w:type="dxa"/>
            <w:vAlign w:val="center"/>
          </w:tcPr>
          <w:p>
            <w:pPr>
              <w:adjustRightInd w:val="0"/>
              <w:snapToGrid w:val="0"/>
              <w:jc w:val="center"/>
              <w:rPr>
                <w:sz w:val="24"/>
                <w:szCs w:val="24"/>
              </w:rPr>
            </w:pPr>
            <w:r>
              <w:rPr>
                <w:sz w:val="24"/>
                <w:szCs w:val="24"/>
              </w:rPr>
              <w:t>结算方式</w:t>
            </w:r>
          </w:p>
        </w:tc>
        <w:tc>
          <w:tcPr>
            <w:tcW w:w="6627" w:type="dxa"/>
            <w:vAlign w:val="center"/>
          </w:tcPr>
          <w:p>
            <w:pPr>
              <w:adjustRightInd w:val="0"/>
              <w:snapToGrid w:val="0"/>
              <w:ind w:firstLine="480" w:firstLineChars="200"/>
              <w:rPr>
                <w:rFonts w:ascii="宋体" w:hAnsi="宋体"/>
                <w:szCs w:val="21"/>
              </w:rPr>
            </w:pPr>
            <w:r>
              <w:rPr>
                <w:rFonts w:hint="eastAsia" w:ascii="宋体" w:hAnsi="宋体"/>
                <w:sz w:val="24"/>
                <w:szCs w:val="24"/>
              </w:rPr>
              <w:t>按合同约定方式结算</w:t>
            </w:r>
          </w:p>
        </w:tc>
      </w:tr>
    </w:tbl>
    <w:p>
      <w:pPr>
        <w:spacing w:line="360" w:lineRule="auto"/>
        <w:rPr>
          <w:b/>
          <w:sz w:val="24"/>
          <w:szCs w:val="24"/>
        </w:rPr>
      </w:pPr>
    </w:p>
    <w:p>
      <w:pPr>
        <w:spacing w:line="440" w:lineRule="exact"/>
        <w:rPr>
          <w:rFonts w:ascii="宋体" w:hAnsi="宋体"/>
          <w:b/>
          <w:sz w:val="32"/>
          <w:szCs w:val="32"/>
        </w:rPr>
      </w:pPr>
      <w:r>
        <w:rPr>
          <w:rFonts w:hint="eastAsia" w:ascii="宋体" w:hAnsi="宋体"/>
          <w:b/>
          <w:bCs/>
          <w:sz w:val="32"/>
          <w:szCs w:val="32"/>
          <w:highlight w:val="white"/>
        </w:rPr>
        <w:t>二、</w:t>
      </w:r>
      <w:r>
        <w:rPr>
          <w:rFonts w:hint="eastAsia" w:ascii="宋体" w:hAnsi="宋体"/>
          <w:b/>
          <w:sz w:val="32"/>
          <w:szCs w:val="32"/>
          <w:highlight w:val="white"/>
        </w:rPr>
        <w:t>总    则</w:t>
      </w:r>
    </w:p>
    <w:p>
      <w:pPr>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1、招标项目概况</w:t>
      </w:r>
    </w:p>
    <w:p>
      <w:pPr>
        <w:autoSpaceDE w:val="0"/>
        <w:autoSpaceDN w:val="0"/>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1.1本招标项目已具备招标条件，现对本工程进行招标</w:t>
      </w:r>
    </w:p>
    <w:p>
      <w:pPr>
        <w:autoSpaceDE w:val="0"/>
        <w:autoSpaceDN w:val="0"/>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2、投标费用</w:t>
      </w:r>
    </w:p>
    <w:p>
      <w:pPr>
        <w:autoSpaceDE w:val="0"/>
        <w:autoSpaceDN w:val="0"/>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2.1投标人应承担其编制投标文件与递交投标文件所涉及的一切费用。不管投标结果如何，招标人对上述费用不负任何责任。</w:t>
      </w:r>
    </w:p>
    <w:p>
      <w:pPr>
        <w:autoSpaceDE w:val="0"/>
        <w:autoSpaceDN w:val="0"/>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3、保密</w:t>
      </w:r>
    </w:p>
    <w:p>
      <w:pPr>
        <w:autoSpaceDE w:val="0"/>
        <w:autoSpaceDN w:val="0"/>
        <w:adjustRightInd w:val="0"/>
        <w:snapToGrid w:val="0"/>
        <w:spacing w:line="440" w:lineRule="exact"/>
        <w:ind w:firstLine="560"/>
        <w:rPr>
          <w:rFonts w:ascii="宋体" w:hAnsi="宋体"/>
          <w:snapToGrid w:val="0"/>
          <w:sz w:val="28"/>
          <w:szCs w:val="28"/>
        </w:rPr>
      </w:pPr>
      <w:r>
        <w:rPr>
          <w:rFonts w:hint="eastAsia" w:ascii="宋体" w:hAnsi="宋体"/>
          <w:snapToGrid w:val="0"/>
          <w:sz w:val="28"/>
          <w:highlight w:val="white"/>
        </w:rPr>
        <w:t>参与招标投标活动的各方应对招标文件和投标文件中的商业和技术等秘密保密，违者应对由此造成的后果承担法律责任</w:t>
      </w:r>
      <w:r>
        <w:rPr>
          <w:rFonts w:hint="eastAsia" w:ascii="宋体" w:hAnsi="宋体"/>
          <w:snapToGrid w:val="0"/>
          <w:sz w:val="28"/>
          <w:szCs w:val="28"/>
          <w:highlight w:val="white"/>
        </w:rPr>
        <w:t>。</w:t>
      </w:r>
    </w:p>
    <w:p>
      <w:pPr>
        <w:autoSpaceDE w:val="0"/>
        <w:autoSpaceDN w:val="0"/>
        <w:adjustRightInd w:val="0"/>
        <w:snapToGrid w:val="0"/>
        <w:spacing w:line="440" w:lineRule="exact"/>
        <w:ind w:firstLine="560"/>
        <w:rPr>
          <w:rFonts w:ascii="宋体" w:hAnsi="宋体"/>
          <w:snapToGrid w:val="0"/>
          <w:sz w:val="28"/>
          <w:szCs w:val="28"/>
        </w:rPr>
      </w:pPr>
    </w:p>
    <w:p>
      <w:pPr>
        <w:spacing w:line="440" w:lineRule="exact"/>
        <w:rPr>
          <w:rFonts w:ascii="宋体" w:hAnsi="宋体"/>
          <w:b/>
          <w:sz w:val="32"/>
          <w:szCs w:val="32"/>
          <w:highlight w:val="white"/>
        </w:rPr>
      </w:pPr>
      <w:r>
        <w:rPr>
          <w:rFonts w:hint="eastAsia" w:ascii="宋体" w:hAnsi="宋体"/>
          <w:b/>
          <w:sz w:val="32"/>
          <w:szCs w:val="32"/>
          <w:highlight w:val="white"/>
        </w:rPr>
        <w:t>三、招  标  文  件</w:t>
      </w:r>
    </w:p>
    <w:p>
      <w:pPr>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4、招标文件的内容</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4.1招标文件包括以下文件（包括不仅限于此）：</w:t>
      </w:r>
    </w:p>
    <w:p>
      <w:pPr>
        <w:numPr>
          <w:ilvl w:val="1"/>
          <w:numId w:val="3"/>
        </w:numPr>
        <w:tabs>
          <w:tab w:val="left" w:pos="142"/>
          <w:tab w:val="left" w:pos="851"/>
          <w:tab w:val="clear" w:pos="2199"/>
        </w:tabs>
        <w:adjustRightInd w:val="0"/>
        <w:snapToGrid w:val="0"/>
        <w:spacing w:line="440" w:lineRule="exact"/>
        <w:ind w:left="1560" w:firstLine="560"/>
        <w:rPr>
          <w:rFonts w:ascii="宋体" w:hAnsi="宋体"/>
          <w:snapToGrid w:val="0"/>
          <w:sz w:val="28"/>
          <w:highlight w:val="white"/>
        </w:rPr>
      </w:pPr>
      <w:r>
        <w:rPr>
          <w:rFonts w:hint="eastAsia" w:ascii="宋体" w:hAnsi="宋体"/>
          <w:snapToGrid w:val="0"/>
          <w:sz w:val="28"/>
          <w:highlight w:val="white"/>
        </w:rPr>
        <w:t>投标人须知；</w:t>
      </w:r>
    </w:p>
    <w:p>
      <w:pPr>
        <w:numPr>
          <w:ilvl w:val="1"/>
          <w:numId w:val="3"/>
        </w:numPr>
        <w:tabs>
          <w:tab w:val="left" w:pos="142"/>
          <w:tab w:val="left" w:pos="851"/>
          <w:tab w:val="clear" w:pos="2199"/>
        </w:tabs>
        <w:adjustRightInd w:val="0"/>
        <w:snapToGrid w:val="0"/>
        <w:spacing w:line="440" w:lineRule="exact"/>
        <w:ind w:left="1560" w:firstLine="560"/>
        <w:rPr>
          <w:rFonts w:ascii="宋体" w:hAnsi="宋体"/>
          <w:snapToGrid w:val="0"/>
          <w:sz w:val="28"/>
          <w:highlight w:val="white"/>
        </w:rPr>
      </w:pPr>
      <w:r>
        <w:rPr>
          <w:rFonts w:hint="eastAsia" w:ascii="宋体" w:hAnsi="宋体"/>
          <w:snapToGrid w:val="0"/>
          <w:sz w:val="28"/>
          <w:highlight w:val="white"/>
        </w:rPr>
        <w:t>评标标准与办法；</w:t>
      </w:r>
    </w:p>
    <w:p>
      <w:pPr>
        <w:numPr>
          <w:ilvl w:val="1"/>
          <w:numId w:val="3"/>
        </w:numPr>
        <w:tabs>
          <w:tab w:val="left" w:pos="142"/>
          <w:tab w:val="left" w:pos="851"/>
          <w:tab w:val="clear" w:pos="2199"/>
        </w:tabs>
        <w:adjustRightInd w:val="0"/>
        <w:snapToGrid w:val="0"/>
        <w:spacing w:line="440" w:lineRule="exact"/>
        <w:ind w:left="1560" w:firstLine="560"/>
        <w:rPr>
          <w:rFonts w:ascii="宋体" w:hAnsi="宋体"/>
          <w:snapToGrid w:val="0"/>
          <w:sz w:val="28"/>
          <w:highlight w:val="white"/>
        </w:rPr>
      </w:pPr>
      <w:r>
        <w:rPr>
          <w:rFonts w:hint="eastAsia" w:ascii="宋体" w:hAnsi="宋体"/>
          <w:snapToGrid w:val="0"/>
          <w:sz w:val="28"/>
          <w:highlight w:val="white"/>
        </w:rPr>
        <w:t>合同主要条款；</w:t>
      </w:r>
    </w:p>
    <w:p>
      <w:pPr>
        <w:numPr>
          <w:ilvl w:val="1"/>
          <w:numId w:val="3"/>
        </w:numPr>
        <w:tabs>
          <w:tab w:val="left" w:pos="142"/>
          <w:tab w:val="left" w:pos="851"/>
          <w:tab w:val="clear" w:pos="2199"/>
        </w:tabs>
        <w:adjustRightInd w:val="0"/>
        <w:snapToGrid w:val="0"/>
        <w:spacing w:line="440" w:lineRule="exact"/>
        <w:ind w:left="1560" w:firstLine="560"/>
        <w:rPr>
          <w:rFonts w:ascii="宋体" w:hAnsi="宋体"/>
          <w:snapToGrid w:val="0"/>
          <w:sz w:val="28"/>
        </w:rPr>
      </w:pPr>
      <w:r>
        <w:rPr>
          <w:rFonts w:hint="eastAsia" w:ascii="宋体" w:hAnsi="宋体"/>
          <w:snapToGrid w:val="0"/>
          <w:sz w:val="28"/>
          <w:highlight w:val="white"/>
        </w:rPr>
        <w:t>投标文件格式</w:t>
      </w:r>
      <w:r>
        <w:rPr>
          <w:rFonts w:hint="eastAsia" w:ascii="宋体" w:hAnsi="宋体"/>
          <w:snapToGrid w:val="0"/>
          <w:sz w:val="28"/>
        </w:rPr>
        <w:t>；</w:t>
      </w:r>
    </w:p>
    <w:p>
      <w:pPr>
        <w:numPr>
          <w:ilvl w:val="1"/>
          <w:numId w:val="3"/>
        </w:numPr>
        <w:tabs>
          <w:tab w:val="left" w:pos="142"/>
          <w:tab w:val="left" w:pos="851"/>
          <w:tab w:val="clear" w:pos="2199"/>
        </w:tabs>
        <w:adjustRightInd w:val="0"/>
        <w:snapToGrid w:val="0"/>
        <w:spacing w:line="440" w:lineRule="exact"/>
        <w:ind w:left="1560" w:firstLine="560"/>
        <w:rPr>
          <w:rFonts w:ascii="宋体" w:hAnsi="宋体"/>
          <w:snapToGrid w:val="0"/>
          <w:sz w:val="28"/>
          <w:highlight w:val="white"/>
        </w:rPr>
      </w:pPr>
      <w:r>
        <w:rPr>
          <w:rFonts w:hint="eastAsia" w:ascii="宋体" w:hAnsi="宋体"/>
          <w:snapToGrid w:val="0"/>
          <w:sz w:val="28"/>
          <w:highlight w:val="white"/>
        </w:rPr>
        <w:t>所有投标期间发出的补充通知。</w:t>
      </w:r>
    </w:p>
    <w:p>
      <w:pPr>
        <w:numPr>
          <w:ilvl w:val="1"/>
          <w:numId w:val="3"/>
        </w:numPr>
        <w:tabs>
          <w:tab w:val="left" w:pos="142"/>
          <w:tab w:val="left" w:pos="851"/>
          <w:tab w:val="clear" w:pos="2199"/>
        </w:tabs>
        <w:adjustRightInd w:val="0"/>
        <w:snapToGrid w:val="0"/>
        <w:spacing w:line="440" w:lineRule="exact"/>
        <w:ind w:left="1560" w:firstLine="560"/>
        <w:rPr>
          <w:rFonts w:ascii="宋体" w:hAnsi="宋体"/>
          <w:snapToGrid w:val="0"/>
          <w:sz w:val="28"/>
          <w:highlight w:val="white"/>
        </w:rPr>
      </w:pPr>
      <w:r>
        <w:rPr>
          <w:rFonts w:hint="eastAsia" w:ascii="宋体" w:hAnsi="宋体"/>
          <w:snapToGrid w:val="0"/>
          <w:sz w:val="28"/>
          <w:highlight w:val="white"/>
        </w:rPr>
        <w:t>招标控制价清单</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4.2根据本章第5款和第6款对招标文件所作的澄清、修改，构成招标文件的组成部分。</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4.3投标人应认真阅读本招标文件中所有的内容，并按招标文件的规定和要求编写投标文件，不能满足招标文件实质性要求的投标文件，将被视为无效投标文件。</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5、招标文件的澄清和修改</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6、招标控制价</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6.1</w:t>
      </w:r>
      <w:r>
        <w:rPr>
          <w:rFonts w:ascii="宋体" w:hAnsi="宋体"/>
          <w:snapToGrid w:val="0"/>
          <w:sz w:val="28"/>
          <w:highlight w:val="white"/>
        </w:rPr>
        <w:t>招标控制价</w:t>
      </w:r>
      <w:r>
        <w:rPr>
          <w:rFonts w:hint="eastAsia" w:ascii="宋体" w:hAnsi="宋体"/>
          <w:snapToGrid w:val="0"/>
          <w:sz w:val="28"/>
          <w:highlight w:val="white"/>
        </w:rPr>
        <w:t>随同招标文件以书面形式发给投标人。</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6.2招标控制价异议处理</w:t>
      </w:r>
    </w:p>
    <w:p>
      <w:pPr>
        <w:tabs>
          <w:tab w:val="left" w:pos="0"/>
          <w:tab w:val="left" w:pos="993"/>
          <w:tab w:val="left" w:pos="1134"/>
        </w:tabs>
        <w:adjustRightInd w:val="0"/>
        <w:snapToGrid w:val="0"/>
        <w:spacing w:line="440" w:lineRule="exact"/>
        <w:ind w:firstLine="561"/>
        <w:rPr>
          <w:rFonts w:ascii="宋体" w:hAnsi="宋体"/>
          <w:b/>
          <w:bCs/>
          <w:snapToGrid w:val="0"/>
          <w:color w:val="000080"/>
          <w:sz w:val="20"/>
        </w:rPr>
      </w:pPr>
      <w:r>
        <w:rPr>
          <w:rFonts w:hint="eastAsia" w:ascii="宋体" w:hAnsi="宋体"/>
          <w:b/>
          <w:bCs/>
          <w:snapToGrid w:val="0"/>
          <w:sz w:val="28"/>
          <w:highlight w:val="white"/>
        </w:rPr>
        <w:t>投标人对招标人公布的招标控制价有异议时，应以前附表中所列方式向招标人提出，招标人应当及时核实。经核实确有错误的，招标人应当调整招标控制价，在开标3日前通知所有投标人。</w:t>
      </w:r>
      <w:bookmarkStart w:id="1" w:name="EBa85809a0bc05463bb2f6aa37edbe78ac"/>
      <w:r>
        <w:rPr>
          <w:rFonts w:ascii="宋体" w:hAnsi="宋体"/>
          <w:b/>
          <w:bCs/>
          <w:snapToGrid w:val="0"/>
          <w:color w:val="000080"/>
          <w:sz w:val="20"/>
          <w:highlight w:val="white"/>
        </w:rPr>
        <w:t xml:space="preserve"> </w:t>
      </w:r>
      <w:bookmarkEnd w:id="1"/>
      <w:bookmarkStart w:id="2" w:name="EB1159bd3c17904cc28a0e817afaac90ef"/>
      <w:r>
        <w:rPr>
          <w:rFonts w:ascii="宋体" w:hAnsi="宋体"/>
          <w:b/>
          <w:bCs/>
          <w:snapToGrid w:val="0"/>
          <w:color w:val="000080"/>
          <w:sz w:val="20"/>
          <w:highlight w:val="white"/>
        </w:rPr>
        <w:t xml:space="preserve"> </w:t>
      </w:r>
      <w:bookmarkEnd w:id="2"/>
    </w:p>
    <w:p>
      <w:pPr>
        <w:tabs>
          <w:tab w:val="left" w:pos="0"/>
          <w:tab w:val="left" w:pos="993"/>
          <w:tab w:val="left" w:pos="1134"/>
        </w:tabs>
        <w:adjustRightInd w:val="0"/>
        <w:snapToGrid w:val="0"/>
        <w:spacing w:line="440" w:lineRule="exact"/>
        <w:ind w:firstLine="561"/>
        <w:rPr>
          <w:rFonts w:ascii="宋体" w:hAnsi="宋体"/>
          <w:snapToGrid w:val="0"/>
          <w:sz w:val="28"/>
        </w:rPr>
      </w:pPr>
    </w:p>
    <w:p>
      <w:pPr>
        <w:spacing w:line="440" w:lineRule="exact"/>
        <w:rPr>
          <w:rFonts w:ascii="宋体" w:hAnsi="宋体"/>
          <w:b/>
          <w:sz w:val="32"/>
          <w:szCs w:val="32"/>
          <w:highlight w:val="white"/>
        </w:rPr>
      </w:pPr>
      <w:r>
        <w:rPr>
          <w:rFonts w:hint="eastAsia" w:ascii="宋体" w:hAnsi="宋体"/>
          <w:b/>
          <w:sz w:val="32"/>
          <w:szCs w:val="32"/>
          <w:highlight w:val="white"/>
        </w:rPr>
        <w:t>四、投 标 文 件 的 组 成</w:t>
      </w:r>
    </w:p>
    <w:p>
      <w:pPr>
        <w:tabs>
          <w:tab w:val="left" w:pos="-1134"/>
          <w:tab w:val="left" w:pos="0"/>
        </w:tabs>
        <w:adjustRightInd w:val="0"/>
        <w:snapToGrid w:val="0"/>
        <w:spacing w:line="440" w:lineRule="exact"/>
        <w:ind w:firstLine="560"/>
        <w:rPr>
          <w:rFonts w:ascii="宋体" w:hAnsi="宋体"/>
          <w:bCs/>
          <w:snapToGrid w:val="0"/>
          <w:sz w:val="28"/>
        </w:rPr>
      </w:pPr>
      <w:r>
        <w:rPr>
          <w:rFonts w:hint="eastAsia" w:ascii="宋体" w:hAnsi="宋体"/>
          <w:bCs/>
          <w:snapToGrid w:val="0"/>
          <w:sz w:val="28"/>
          <w:highlight w:val="white"/>
        </w:rPr>
        <w:t>7、投标文件的编制</w:t>
      </w:r>
    </w:p>
    <w:p>
      <w:pPr>
        <w:tabs>
          <w:tab w:val="left" w:pos="-1418"/>
          <w:tab w:val="left" w:pos="0"/>
        </w:tabs>
        <w:adjustRightInd w:val="0"/>
        <w:snapToGrid w:val="0"/>
        <w:spacing w:line="440" w:lineRule="exact"/>
        <w:ind w:firstLine="560"/>
        <w:rPr>
          <w:rFonts w:ascii="宋体" w:hAnsi="宋体"/>
          <w:bCs/>
          <w:snapToGrid w:val="0"/>
          <w:sz w:val="28"/>
        </w:rPr>
      </w:pPr>
      <w:r>
        <w:rPr>
          <w:rFonts w:hint="eastAsia" w:ascii="宋体" w:hAnsi="宋体"/>
          <w:bCs/>
          <w:snapToGrid w:val="0"/>
          <w:sz w:val="28"/>
          <w:highlight w:val="white"/>
        </w:rPr>
        <w:t>7.1投标文件应按 “投标文件格式”进行编写。</w:t>
      </w:r>
    </w:p>
    <w:p>
      <w:pPr>
        <w:tabs>
          <w:tab w:val="left" w:pos="-1418"/>
          <w:tab w:val="left" w:pos="0"/>
        </w:tabs>
        <w:adjustRightInd w:val="0"/>
        <w:snapToGrid w:val="0"/>
        <w:spacing w:line="440" w:lineRule="exact"/>
        <w:ind w:firstLine="560"/>
        <w:rPr>
          <w:rFonts w:ascii="宋体" w:hAnsi="宋体"/>
          <w:bCs/>
          <w:snapToGrid w:val="0"/>
          <w:sz w:val="28"/>
        </w:rPr>
      </w:pPr>
      <w:r>
        <w:rPr>
          <w:rFonts w:hint="eastAsia" w:ascii="宋体" w:hAnsi="宋体"/>
          <w:bCs/>
          <w:snapToGrid w:val="0"/>
          <w:sz w:val="28"/>
          <w:highlight w:val="white"/>
        </w:rPr>
        <w:t>7.2投标文件应当对招标文件有关工期、投标有效期、质量要求、技术标准和要求、招标范围等实质性内容作出响应。</w:t>
      </w:r>
    </w:p>
    <w:p>
      <w:pPr>
        <w:tabs>
          <w:tab w:val="left" w:pos="-1418"/>
          <w:tab w:val="left" w:pos="0"/>
        </w:tabs>
        <w:adjustRightInd w:val="0"/>
        <w:snapToGrid w:val="0"/>
        <w:spacing w:line="440" w:lineRule="exact"/>
        <w:ind w:firstLine="520"/>
        <w:rPr>
          <w:rFonts w:ascii="宋体" w:hAnsi="宋体"/>
          <w:bCs/>
          <w:snapToGrid w:val="0"/>
          <w:color w:val="FF0000"/>
          <w:sz w:val="28"/>
          <w:highlight w:val="white"/>
        </w:rPr>
      </w:pPr>
      <w:r>
        <w:rPr>
          <w:rFonts w:hint="eastAsia" w:ascii="宋体" w:hAnsi="宋体"/>
          <w:bCs/>
          <w:snapToGrid w:val="0"/>
          <w:spacing w:val="-20"/>
          <w:sz w:val="28"/>
          <w:szCs w:val="28"/>
          <w:highlight w:val="white"/>
        </w:rPr>
        <w:t>7.3</w:t>
      </w:r>
      <w:r>
        <w:rPr>
          <w:rFonts w:hint="eastAsia" w:ascii="宋体" w:hAnsi="宋体"/>
          <w:bCs/>
          <w:snapToGrid w:val="0"/>
          <w:sz w:val="28"/>
          <w:highlight w:val="white"/>
        </w:rPr>
        <w:t>投标文件应包括：</w:t>
      </w:r>
      <w:r>
        <w:rPr>
          <w:rFonts w:hint="eastAsia" w:ascii="宋体" w:hAnsi="宋体"/>
          <w:bCs/>
          <w:snapToGrid w:val="0"/>
          <w:color w:val="FF0000"/>
          <w:sz w:val="28"/>
          <w:highlight w:val="white"/>
        </w:rPr>
        <w:t>投标报价函、授权委托书（如有）、营业执照。</w:t>
      </w:r>
    </w:p>
    <w:p>
      <w:pPr>
        <w:spacing w:line="440" w:lineRule="exact"/>
        <w:rPr>
          <w:rFonts w:ascii="宋体" w:hAnsi="宋体"/>
          <w:b/>
          <w:sz w:val="32"/>
          <w:szCs w:val="32"/>
          <w:highlight w:val="white"/>
        </w:rPr>
      </w:pPr>
      <w:r>
        <w:rPr>
          <w:rFonts w:hint="eastAsia" w:ascii="宋体" w:hAnsi="宋体"/>
          <w:b/>
          <w:sz w:val="32"/>
          <w:szCs w:val="32"/>
          <w:highlight w:val="white"/>
        </w:rPr>
        <w:t>五、投  标  报  价</w:t>
      </w:r>
    </w:p>
    <w:p>
      <w:pPr>
        <w:tabs>
          <w:tab w:val="left" w:pos="0"/>
          <w:tab w:val="left" w:pos="993"/>
          <w:tab w:val="left" w:pos="1134"/>
        </w:tabs>
        <w:adjustRightInd w:val="0"/>
        <w:snapToGrid w:val="0"/>
        <w:spacing w:line="440" w:lineRule="exact"/>
        <w:ind w:firstLine="560"/>
        <w:rPr>
          <w:rFonts w:ascii="宋体" w:hAnsi="宋体"/>
          <w:sz w:val="28"/>
        </w:rPr>
      </w:pPr>
      <w:bookmarkStart w:id="3" w:name="_Toc261518380"/>
      <w:bookmarkStart w:id="4" w:name="_Toc243811906"/>
      <w:r>
        <w:rPr>
          <w:rFonts w:hint="eastAsia" w:ascii="宋体" w:hAnsi="宋体"/>
          <w:sz w:val="28"/>
          <w:highlight w:val="white"/>
        </w:rPr>
        <w:t>8、投标报价</w:t>
      </w:r>
      <w:r>
        <w:rPr>
          <w:rFonts w:ascii="宋体" w:hAnsi="宋体"/>
          <w:sz w:val="28"/>
          <w:highlight w:val="white"/>
        </w:rPr>
        <w:t xml:space="preserve"> </w:t>
      </w:r>
    </w:p>
    <w:p>
      <w:pPr>
        <w:tabs>
          <w:tab w:val="left" w:pos="0"/>
          <w:tab w:val="left" w:pos="993"/>
          <w:tab w:val="left" w:pos="1134"/>
        </w:tabs>
        <w:adjustRightInd w:val="0"/>
        <w:snapToGrid w:val="0"/>
        <w:spacing w:line="440" w:lineRule="exact"/>
        <w:ind w:firstLine="561"/>
        <w:rPr>
          <w:rFonts w:ascii="宋体" w:hAnsi="宋体"/>
          <w:snapToGrid w:val="0"/>
          <w:color w:val="FF0000"/>
          <w:sz w:val="28"/>
        </w:rPr>
      </w:pPr>
      <w:r>
        <w:rPr>
          <w:rFonts w:hint="eastAsia" w:ascii="宋体" w:hAnsi="宋体"/>
          <w:b/>
          <w:bCs/>
          <w:snapToGrid w:val="0"/>
          <w:sz w:val="28"/>
          <w:highlight w:val="white"/>
        </w:rPr>
        <w:t>投标人的报价高于招标控制价的，其投标文件无效。</w:t>
      </w:r>
    </w:p>
    <w:p>
      <w:pPr>
        <w:tabs>
          <w:tab w:val="left" w:pos="0"/>
          <w:tab w:val="left" w:pos="993"/>
          <w:tab w:val="left" w:pos="1134"/>
        </w:tabs>
        <w:adjustRightInd w:val="0"/>
        <w:snapToGrid w:val="0"/>
        <w:spacing w:line="440" w:lineRule="exact"/>
        <w:ind w:firstLine="560"/>
        <w:rPr>
          <w:rFonts w:ascii="宋体" w:hAnsi="宋体"/>
          <w:sz w:val="28"/>
        </w:rPr>
      </w:pPr>
      <w:r>
        <w:rPr>
          <w:rFonts w:hint="eastAsia" w:ascii="宋体" w:hAnsi="宋体"/>
          <w:sz w:val="28"/>
          <w:highlight w:val="white"/>
        </w:rPr>
        <w:t>8.1</w:t>
      </w:r>
      <w:r>
        <w:rPr>
          <w:rFonts w:ascii="宋体" w:hAnsi="宋体"/>
          <w:sz w:val="28"/>
          <w:highlight w:val="white"/>
        </w:rPr>
        <w:t>投标报价方式</w:t>
      </w:r>
      <w:bookmarkEnd w:id="3"/>
      <w:bookmarkEnd w:id="4"/>
    </w:p>
    <w:p>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sz w:val="28"/>
          <w:highlight w:val="white"/>
        </w:rPr>
        <w:t>本工程项目采用下列第</w:t>
      </w:r>
      <w:r>
        <w:rPr>
          <w:rFonts w:hint="eastAsia" w:ascii="宋体" w:hAnsi="宋体"/>
          <w:snapToGrid w:val="0"/>
          <w:sz w:val="28"/>
          <w:highlight w:val="white"/>
          <w:u w:val="single"/>
        </w:rPr>
        <w:t>2</w:t>
      </w:r>
      <w:r>
        <w:rPr>
          <w:rFonts w:ascii="宋体" w:hAnsi="宋体"/>
          <w:sz w:val="28"/>
          <w:highlight w:val="white"/>
        </w:rPr>
        <w:t>种方式。</w:t>
      </w:r>
    </w:p>
    <w:p>
      <w:pPr>
        <w:numPr>
          <w:ilvl w:val="0"/>
          <w:numId w:val="4"/>
        </w:numPr>
        <w:tabs>
          <w:tab w:val="left" w:pos="0"/>
          <w:tab w:val="left" w:pos="993"/>
          <w:tab w:val="left" w:pos="1134"/>
        </w:tabs>
        <w:adjustRightInd w:val="0"/>
        <w:snapToGrid w:val="0"/>
        <w:spacing w:line="440" w:lineRule="exact"/>
        <w:ind w:firstLine="560"/>
        <w:rPr>
          <w:rFonts w:ascii="宋体" w:hAnsi="宋体"/>
          <w:sz w:val="28"/>
          <w:highlight w:val="white"/>
        </w:rPr>
      </w:pPr>
      <w:r>
        <w:rPr>
          <w:rFonts w:hint="eastAsia" w:ascii="宋体" w:hAnsi="宋体"/>
          <w:sz w:val="28"/>
          <w:highlight w:val="white"/>
        </w:rPr>
        <w:t>让利报价。投标人报价时应充分考虑施工期间各类建材的市场风险和国家政策风险系数。</w:t>
      </w:r>
    </w:p>
    <w:p>
      <w:pPr>
        <w:tabs>
          <w:tab w:val="left" w:pos="0"/>
          <w:tab w:val="left" w:pos="993"/>
          <w:tab w:val="left" w:pos="1134"/>
        </w:tabs>
        <w:adjustRightInd w:val="0"/>
        <w:snapToGrid w:val="0"/>
        <w:spacing w:line="440" w:lineRule="exact"/>
        <w:ind w:firstLine="560" w:firstLineChars="200"/>
        <w:rPr>
          <w:rFonts w:ascii="宋体" w:hAnsi="宋体"/>
          <w:sz w:val="28"/>
          <w:highlight w:val="white"/>
        </w:rPr>
      </w:pPr>
      <w:r>
        <w:rPr>
          <w:rFonts w:hint="eastAsia" w:ascii="宋体" w:hAnsi="宋体"/>
          <w:sz w:val="28"/>
          <w:highlight w:val="white"/>
        </w:rPr>
        <w:t>（2）固定单价报价。投标人报价时应充分考虑施工期间各类建材的市场风险。工程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pPr>
        <w:tabs>
          <w:tab w:val="left" w:pos="0"/>
          <w:tab w:val="left" w:pos="993"/>
          <w:tab w:val="left" w:pos="1134"/>
        </w:tabs>
        <w:adjustRightInd w:val="0"/>
        <w:snapToGrid w:val="0"/>
        <w:spacing w:line="440" w:lineRule="exact"/>
        <w:ind w:firstLine="560"/>
        <w:rPr>
          <w:rFonts w:ascii="宋体" w:hAnsi="宋体"/>
          <w:sz w:val="28"/>
          <w:highlight w:val="white"/>
        </w:rPr>
      </w:pPr>
      <w:bookmarkStart w:id="5" w:name="_Toc261518382"/>
      <w:bookmarkStart w:id="6" w:name="_Toc243811908"/>
      <w:r>
        <w:rPr>
          <w:rFonts w:hint="eastAsia" w:ascii="宋体" w:hAnsi="宋体"/>
          <w:sz w:val="28"/>
          <w:highlight w:val="white"/>
        </w:rPr>
        <w:t>8.2</w:t>
      </w:r>
      <w:r>
        <w:rPr>
          <w:rFonts w:ascii="宋体" w:hAnsi="宋体"/>
          <w:sz w:val="28"/>
          <w:highlight w:val="white"/>
        </w:rPr>
        <w:t xml:space="preserve"> 投标报价</w:t>
      </w:r>
      <w:bookmarkEnd w:id="5"/>
      <w:bookmarkEnd w:id="6"/>
      <w:r>
        <w:rPr>
          <w:rFonts w:hint="eastAsia" w:ascii="宋体" w:hAnsi="宋体"/>
          <w:sz w:val="28"/>
          <w:highlight w:val="white"/>
        </w:rPr>
        <w:t>要求</w:t>
      </w:r>
    </w:p>
    <w:p>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hint="eastAsia" w:ascii="宋体" w:hAnsi="宋体"/>
          <w:snapToGrid w:val="0"/>
          <w:color w:val="FF0000"/>
          <w:sz w:val="28"/>
          <w:highlight w:val="white"/>
        </w:rPr>
        <w:t>所有投标报价以单价金额表示</w:t>
      </w:r>
      <w:r>
        <w:rPr>
          <w:rFonts w:hint="eastAsia" w:ascii="宋体" w:hAnsi="宋体"/>
          <w:snapToGrid w:val="0"/>
          <w:sz w:val="28"/>
          <w:highlight w:val="white"/>
        </w:rPr>
        <w:t>。</w:t>
      </w:r>
    </w:p>
    <w:p>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 xml:space="preserve">9、勘察现场 </w:t>
      </w:r>
    </w:p>
    <w:p>
      <w:pPr>
        <w:tabs>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9.1考虑到本工程实际情况，投标人应对工程施工现场场地条件和周围环境进行勘察，勘察现场所发生的费用由投标人承担。</w:t>
      </w:r>
    </w:p>
    <w:p>
      <w:pPr>
        <w:tabs>
          <w:tab w:val="left" w:pos="0"/>
        </w:tabs>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9.2投标人到现场实地勘踏，应充分了解工地位置、情况、道路、储存空间、装卸限制、相关专业施工队伍的配合与衔接及任何其他。</w:t>
      </w:r>
    </w:p>
    <w:p>
      <w:pPr>
        <w:tabs>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10、投标有效期</w:t>
      </w:r>
    </w:p>
    <w:p>
      <w:pPr>
        <w:tabs>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10.1在投标人须知前附表规定的投标有效期内，投标人不得要求撤销或修改其投标文件。</w:t>
      </w:r>
    </w:p>
    <w:p>
      <w:pPr>
        <w:tabs>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 xml:space="preserve">10.2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tabs>
          <w:tab w:val="left" w:pos="0"/>
        </w:tabs>
        <w:adjustRightInd w:val="0"/>
        <w:snapToGrid w:val="0"/>
        <w:spacing w:line="440" w:lineRule="exact"/>
        <w:ind w:firstLine="560"/>
        <w:rPr>
          <w:rFonts w:ascii="宋体" w:hAnsi="宋体"/>
          <w:snapToGrid w:val="0"/>
          <w:sz w:val="28"/>
          <w:highlight w:val="white"/>
        </w:rPr>
      </w:pPr>
    </w:p>
    <w:p>
      <w:pPr>
        <w:spacing w:line="440" w:lineRule="exact"/>
        <w:rPr>
          <w:rFonts w:ascii="宋体" w:hAnsi="宋体"/>
          <w:b/>
          <w:sz w:val="32"/>
          <w:szCs w:val="32"/>
          <w:highlight w:val="white"/>
        </w:rPr>
      </w:pPr>
      <w:r>
        <w:rPr>
          <w:rFonts w:hint="eastAsia" w:ascii="宋体" w:hAnsi="宋体"/>
          <w:b/>
          <w:sz w:val="32"/>
          <w:szCs w:val="32"/>
          <w:highlight w:val="white"/>
        </w:rPr>
        <w:t>六、投标文件的密封与递交</w:t>
      </w:r>
    </w:p>
    <w:p>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11、投标文件的份数和签署</w:t>
      </w:r>
    </w:p>
    <w:p>
      <w:pPr>
        <w:tabs>
          <w:tab w:val="left" w:pos="-426"/>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投标文件应使用不能擦去的墨水书写或打印，由投标人加盖法人公章和法定代表人或法定代表人委托的代理人印鉴或签字。</w:t>
      </w:r>
    </w:p>
    <w:p>
      <w:pPr>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12、投标文件的密</w:t>
      </w:r>
      <w:r>
        <w:rPr>
          <w:rFonts w:hint="eastAsia" w:ascii="宋体" w:hAnsi="宋体"/>
          <w:snapToGrid w:val="0"/>
          <w:sz w:val="28"/>
          <w:szCs w:val="28"/>
          <w:highlight w:val="white"/>
        </w:rPr>
        <w:t>封与</w:t>
      </w:r>
      <w:r>
        <w:rPr>
          <w:rFonts w:hint="eastAsia" w:ascii="宋体" w:hAnsi="宋体"/>
          <w:snapToGrid w:val="0"/>
          <w:sz w:val="28"/>
          <w:highlight w:val="white"/>
        </w:rPr>
        <w:t>标志</w:t>
      </w:r>
    </w:p>
    <w:p>
      <w:pPr>
        <w:tabs>
          <w:tab w:val="left" w:pos="-426"/>
          <w:tab w:val="left" w:pos="0"/>
        </w:tabs>
        <w:adjustRightInd w:val="0"/>
        <w:snapToGrid w:val="0"/>
        <w:spacing w:line="440" w:lineRule="exact"/>
        <w:ind w:firstLine="560"/>
        <w:rPr>
          <w:rFonts w:ascii="宋体" w:hAnsi="宋体"/>
          <w:b/>
          <w:snapToGrid w:val="0"/>
          <w:sz w:val="28"/>
          <w:highlight w:val="white"/>
        </w:rPr>
      </w:pPr>
      <w:r>
        <w:rPr>
          <w:rFonts w:hint="eastAsia" w:ascii="宋体" w:hAnsi="宋体"/>
          <w:b/>
          <w:snapToGrid w:val="0"/>
          <w:sz w:val="28"/>
          <w:highlight w:val="white"/>
        </w:rPr>
        <w:t>所有封袋上都应写明招标人名称、工程项目名称、投标人名称、卷别；</w:t>
      </w:r>
    </w:p>
    <w:p>
      <w:pPr>
        <w:tabs>
          <w:tab w:val="left" w:pos="-426"/>
          <w:tab w:val="left" w:pos="0"/>
        </w:tabs>
        <w:adjustRightInd w:val="0"/>
        <w:snapToGrid w:val="0"/>
        <w:spacing w:line="440" w:lineRule="exact"/>
        <w:ind w:firstLine="560"/>
        <w:rPr>
          <w:rFonts w:ascii="宋体" w:hAnsi="宋体"/>
          <w:b/>
          <w:snapToGrid w:val="0"/>
          <w:sz w:val="28"/>
          <w:highlight w:val="white"/>
        </w:rPr>
      </w:pPr>
      <w:r>
        <w:rPr>
          <w:rFonts w:hint="eastAsia" w:ascii="宋体" w:hAnsi="宋体"/>
          <w:b/>
          <w:snapToGrid w:val="0"/>
          <w:sz w:val="28"/>
          <w:highlight w:val="white"/>
        </w:rPr>
        <w:t>所有投标文件都必须在封袋上加盖投标单位法人公章及其法定代表人或授权委托人的印鉴。</w:t>
      </w:r>
    </w:p>
    <w:p>
      <w:pPr>
        <w:tabs>
          <w:tab w:val="left" w:pos="0"/>
          <w:tab w:val="left" w:pos="993"/>
          <w:tab w:val="left" w:pos="1134"/>
        </w:tabs>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13、投标截止期</w:t>
      </w:r>
    </w:p>
    <w:p>
      <w:pPr>
        <w:tabs>
          <w:tab w:val="left" w:pos="0"/>
        </w:tabs>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13.1投标人应在投标须知中规定的时间之前将投标文件递交到招标文件前附表指定地点。</w:t>
      </w:r>
    </w:p>
    <w:p>
      <w:pPr>
        <w:tabs>
          <w:tab w:val="left" w:pos="0"/>
        </w:tabs>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13.2招标人可以按本文件规定以修改通知的方式，延长递交投标文件的截止日期。在上述情况下，招标人与投标人以前的在投标截止期方面的全部权力、责任和义务，将适用于延长后新的投标截止期。</w:t>
      </w:r>
    </w:p>
    <w:p>
      <w:pPr>
        <w:tabs>
          <w:tab w:val="left" w:pos="0"/>
          <w:tab w:val="left" w:pos="1134"/>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14、投标文件的修改与撤回</w:t>
      </w:r>
    </w:p>
    <w:p>
      <w:pPr>
        <w:tabs>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14.1投标人可以在递交投标文件以后，在规定的投标截止期之前，以书面形式向招标人递交修改或撤回其投标文件的通知。在投标截止期以后，不得更改、撤回投标文件。</w:t>
      </w:r>
    </w:p>
    <w:p>
      <w:pPr>
        <w:tabs>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14.2投标文件的修改应按本文件相关条款规定的要求编制、密封、标志和递交（密封袋上应标明“修改”字样）。</w:t>
      </w:r>
    </w:p>
    <w:p>
      <w:pPr>
        <w:tabs>
          <w:tab w:val="left" w:pos="0"/>
        </w:tabs>
        <w:adjustRightInd w:val="0"/>
        <w:snapToGrid w:val="0"/>
        <w:spacing w:line="440" w:lineRule="exact"/>
        <w:ind w:firstLine="520"/>
        <w:rPr>
          <w:rFonts w:ascii="宋体" w:hAnsi="宋体"/>
          <w:snapToGrid w:val="0"/>
          <w:color w:val="000080"/>
          <w:sz w:val="20"/>
          <w:szCs w:val="28"/>
        </w:rPr>
      </w:pPr>
      <w:r>
        <w:rPr>
          <w:rFonts w:hint="eastAsia" w:ascii="宋体" w:hAnsi="宋体"/>
          <w:snapToGrid w:val="0"/>
          <w:spacing w:val="-20"/>
          <w:sz w:val="28"/>
          <w:highlight w:val="white"/>
        </w:rPr>
        <w:t>14.</w:t>
      </w:r>
      <w:r>
        <w:rPr>
          <w:rFonts w:hint="eastAsia" w:ascii="宋体" w:hAnsi="宋体"/>
          <w:snapToGrid w:val="0"/>
          <w:sz w:val="28"/>
          <w:szCs w:val="28"/>
          <w:highlight w:val="white"/>
        </w:rPr>
        <w:t>3投标截止以后,在投标有效期内，未确定中标人前，投标人不得撤回投标文件。</w:t>
      </w:r>
      <w:bookmarkStart w:id="7" w:name="EB66450c37613b4d8bb5d2ef34d49a190f"/>
      <w:r>
        <w:rPr>
          <w:rFonts w:ascii="宋体" w:hAnsi="宋体"/>
          <w:snapToGrid w:val="0"/>
          <w:color w:val="000080"/>
          <w:sz w:val="20"/>
          <w:szCs w:val="28"/>
          <w:highlight w:val="white"/>
        </w:rPr>
        <w:t xml:space="preserve"> </w:t>
      </w:r>
      <w:bookmarkEnd w:id="7"/>
      <w:bookmarkStart w:id="8" w:name="EB0f01764a82a04f44abcb858eaf46c6a5"/>
      <w:r>
        <w:rPr>
          <w:rFonts w:ascii="宋体" w:hAnsi="宋体"/>
          <w:snapToGrid w:val="0"/>
          <w:color w:val="000080"/>
          <w:sz w:val="20"/>
          <w:szCs w:val="28"/>
          <w:highlight w:val="white"/>
        </w:rPr>
        <w:t xml:space="preserve"> </w:t>
      </w:r>
      <w:bookmarkEnd w:id="8"/>
      <w:bookmarkStart w:id="9" w:name="EBa793852fcb4d42ce9e567dfd1411b872"/>
      <w:r>
        <w:rPr>
          <w:rFonts w:ascii="宋体" w:hAnsi="宋体"/>
          <w:snapToGrid w:val="0"/>
          <w:color w:val="000080"/>
          <w:sz w:val="20"/>
          <w:szCs w:val="28"/>
          <w:highlight w:val="white"/>
        </w:rPr>
        <w:t xml:space="preserve"> </w:t>
      </w:r>
      <w:bookmarkEnd w:id="9"/>
    </w:p>
    <w:p>
      <w:pPr>
        <w:spacing w:line="440" w:lineRule="exact"/>
        <w:rPr>
          <w:rFonts w:ascii="宋体" w:hAnsi="宋体"/>
          <w:b/>
          <w:sz w:val="32"/>
          <w:szCs w:val="32"/>
          <w:highlight w:val="white"/>
        </w:rPr>
      </w:pPr>
      <w:r>
        <w:rPr>
          <w:rFonts w:hint="eastAsia" w:ascii="宋体" w:hAnsi="宋体"/>
          <w:b/>
          <w:sz w:val="32"/>
          <w:szCs w:val="32"/>
          <w:highlight w:val="white"/>
        </w:rPr>
        <w:t>七、开标</w:t>
      </w:r>
    </w:p>
    <w:p>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15、开标</w:t>
      </w:r>
    </w:p>
    <w:p>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15.1 招标人将按投标须知前附表的时间和地点举行开标会议。</w:t>
      </w:r>
    </w:p>
    <w:p>
      <w:pPr>
        <w:tabs>
          <w:tab w:val="left" w:pos="-1701"/>
          <w:tab w:val="left" w:pos="0"/>
        </w:tabs>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15.2开标程序：</w:t>
      </w:r>
    </w:p>
    <w:p>
      <w:pPr>
        <w:spacing w:line="440" w:lineRule="exact"/>
        <w:ind w:firstLine="479"/>
        <w:rPr>
          <w:rFonts w:ascii="宋体" w:hAnsi="宋体"/>
          <w:snapToGrid w:val="0"/>
          <w:sz w:val="28"/>
          <w:highlight w:val="white"/>
        </w:rPr>
      </w:pPr>
      <w:r>
        <w:rPr>
          <w:rFonts w:hint="eastAsia" w:ascii="宋体" w:hAnsi="宋体"/>
          <w:snapToGrid w:val="0"/>
          <w:sz w:val="28"/>
          <w:highlight w:val="white"/>
        </w:rPr>
        <w:t>（1）宣布开标纪律；</w:t>
      </w:r>
    </w:p>
    <w:p>
      <w:pPr>
        <w:spacing w:line="440" w:lineRule="exact"/>
        <w:ind w:firstLine="479"/>
        <w:rPr>
          <w:rFonts w:ascii="宋体" w:hAnsi="宋体"/>
          <w:snapToGrid w:val="0"/>
          <w:sz w:val="28"/>
          <w:highlight w:val="white"/>
        </w:rPr>
      </w:pPr>
      <w:r>
        <w:rPr>
          <w:rFonts w:hint="eastAsia" w:ascii="宋体" w:hAnsi="宋体"/>
          <w:snapToGrid w:val="0"/>
          <w:sz w:val="28"/>
          <w:highlight w:val="white"/>
        </w:rPr>
        <w:t>（2）按照投标人须知前附表规定检查投标文件的密封情况；</w:t>
      </w:r>
    </w:p>
    <w:p>
      <w:pPr>
        <w:spacing w:line="440" w:lineRule="exact"/>
        <w:ind w:firstLine="479"/>
        <w:rPr>
          <w:rFonts w:ascii="宋体" w:hAnsi="宋体"/>
          <w:snapToGrid w:val="0"/>
          <w:sz w:val="28"/>
          <w:highlight w:val="white"/>
        </w:rPr>
      </w:pPr>
      <w:r>
        <w:rPr>
          <w:rFonts w:hint="eastAsia" w:ascii="宋体" w:hAnsi="宋体"/>
          <w:snapToGrid w:val="0"/>
          <w:sz w:val="28"/>
          <w:highlight w:val="white"/>
        </w:rPr>
        <w:t>（3）公布投标人名称、标段名称、投标保证金的递交情况、投标报价、质量目标、工期及其他内容，并记录在案；</w:t>
      </w:r>
    </w:p>
    <w:p>
      <w:pPr>
        <w:spacing w:line="440" w:lineRule="exact"/>
        <w:ind w:firstLine="479"/>
        <w:rPr>
          <w:rFonts w:ascii="宋体" w:hAnsi="宋体"/>
          <w:snapToGrid w:val="0"/>
          <w:color w:val="000080"/>
          <w:sz w:val="20"/>
        </w:rPr>
      </w:pPr>
      <w:r>
        <w:rPr>
          <w:rFonts w:hint="eastAsia" w:ascii="宋体" w:hAnsi="宋体"/>
          <w:snapToGrid w:val="0"/>
          <w:sz w:val="28"/>
          <w:highlight w:val="white"/>
        </w:rPr>
        <w:t>（4）开标结束。</w:t>
      </w:r>
      <w:bookmarkStart w:id="10" w:name="EBeca13303dcfd4780a9739bea47def694"/>
      <w:r>
        <w:rPr>
          <w:rFonts w:ascii="宋体" w:hAnsi="宋体"/>
          <w:snapToGrid w:val="0"/>
          <w:color w:val="000080"/>
          <w:sz w:val="20"/>
          <w:highlight w:val="white"/>
        </w:rPr>
        <w:t xml:space="preserve"> </w:t>
      </w:r>
      <w:bookmarkEnd w:id="10"/>
      <w:bookmarkStart w:id="11" w:name="EB12759f0d635e470dbe8d9ef589ab9516"/>
      <w:r>
        <w:rPr>
          <w:rFonts w:ascii="宋体" w:hAnsi="宋体"/>
          <w:snapToGrid w:val="0"/>
          <w:color w:val="000080"/>
          <w:sz w:val="20"/>
          <w:highlight w:val="white"/>
        </w:rPr>
        <w:t xml:space="preserve"> </w:t>
      </w:r>
      <w:bookmarkEnd w:id="11"/>
      <w:bookmarkStart w:id="12" w:name="EBaf5f94c076e34861a13e80ed5a735153"/>
      <w:r>
        <w:rPr>
          <w:rFonts w:ascii="宋体" w:hAnsi="宋体"/>
          <w:snapToGrid w:val="0"/>
          <w:color w:val="000080"/>
          <w:sz w:val="20"/>
          <w:highlight w:val="white"/>
        </w:rPr>
        <w:t xml:space="preserve"> </w:t>
      </w:r>
      <w:bookmarkEnd w:id="12"/>
    </w:p>
    <w:p>
      <w:pPr>
        <w:spacing w:line="440" w:lineRule="exact"/>
        <w:ind w:firstLine="479"/>
        <w:rPr>
          <w:rFonts w:ascii="宋体" w:hAnsi="宋体"/>
          <w:snapToGrid w:val="0"/>
          <w:sz w:val="28"/>
        </w:rPr>
      </w:pPr>
    </w:p>
    <w:p>
      <w:pPr>
        <w:spacing w:line="440" w:lineRule="exact"/>
        <w:rPr>
          <w:rFonts w:ascii="宋体" w:hAnsi="宋体"/>
          <w:b/>
          <w:sz w:val="32"/>
          <w:szCs w:val="32"/>
          <w:highlight w:val="white"/>
        </w:rPr>
      </w:pPr>
      <w:r>
        <w:rPr>
          <w:rFonts w:hint="eastAsia" w:ascii="宋体" w:hAnsi="宋体"/>
          <w:b/>
          <w:sz w:val="32"/>
          <w:szCs w:val="32"/>
          <w:highlight w:val="white"/>
        </w:rPr>
        <w:t>八、评标与定标</w:t>
      </w:r>
    </w:p>
    <w:p>
      <w:pPr>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16、评标</w:t>
      </w:r>
    </w:p>
    <w:p>
      <w:pPr>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pPr>
        <w:tabs>
          <w:tab w:val="left" w:pos="0"/>
          <w:tab w:val="left" w:pos="1134"/>
        </w:tabs>
        <w:adjustRightInd w:val="0"/>
        <w:snapToGrid w:val="0"/>
        <w:spacing w:line="440" w:lineRule="exact"/>
        <w:ind w:firstLine="561"/>
        <w:rPr>
          <w:rFonts w:ascii="宋体" w:hAnsi="宋体" w:cs="Arial"/>
          <w:b/>
          <w:snapToGrid w:val="0"/>
          <w:color w:val="000000"/>
          <w:sz w:val="28"/>
        </w:rPr>
      </w:pPr>
      <w:r>
        <w:rPr>
          <w:rFonts w:hint="eastAsia" w:ascii="宋体" w:hAnsi="宋体"/>
          <w:b/>
          <w:snapToGrid w:val="0"/>
          <w:color w:val="000000"/>
          <w:sz w:val="28"/>
          <w:highlight w:val="white"/>
        </w:rPr>
        <w:t>16.1</w:t>
      </w:r>
      <w:r>
        <w:rPr>
          <w:rFonts w:hint="eastAsia" w:ascii="宋体" w:hAnsi="宋体" w:cs="Arial"/>
          <w:b/>
          <w:snapToGrid w:val="0"/>
          <w:color w:val="000000"/>
          <w:sz w:val="28"/>
          <w:highlight w:val="white"/>
        </w:rPr>
        <w:t>评标委员会</w:t>
      </w:r>
    </w:p>
    <w:p>
      <w:pPr>
        <w:tabs>
          <w:tab w:val="left" w:pos="0"/>
          <w:tab w:val="left" w:pos="1134"/>
        </w:tabs>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评标由招标人依法组建的评标委员会负责。评标委员会由有关技术、经济等方面的专家组成。</w:t>
      </w:r>
    </w:p>
    <w:p>
      <w:pPr>
        <w:adjustRightInd w:val="0"/>
        <w:snapToGrid w:val="0"/>
        <w:spacing w:line="440" w:lineRule="exact"/>
        <w:ind w:firstLine="561"/>
        <w:rPr>
          <w:rFonts w:ascii="宋体" w:hAnsi="宋体" w:cs="Arial"/>
          <w:b/>
          <w:color w:val="000000"/>
          <w:sz w:val="28"/>
          <w:highlight w:val="white"/>
        </w:rPr>
      </w:pPr>
      <w:r>
        <w:rPr>
          <w:rFonts w:hint="eastAsia" w:ascii="宋体" w:hAnsi="宋体"/>
          <w:b/>
          <w:color w:val="000000"/>
          <w:sz w:val="28"/>
          <w:highlight w:val="white"/>
        </w:rPr>
        <w:t>16.2</w:t>
      </w:r>
      <w:r>
        <w:rPr>
          <w:rFonts w:hint="eastAsia" w:ascii="宋体" w:hAnsi="宋体" w:cs="Arial"/>
          <w:b/>
          <w:color w:val="000000"/>
          <w:sz w:val="28"/>
          <w:highlight w:val="white"/>
        </w:rPr>
        <w:t>评审程序</w:t>
      </w:r>
    </w:p>
    <w:p>
      <w:pPr>
        <w:adjustRightInd w:val="0"/>
        <w:snapToGrid w:val="0"/>
        <w:spacing w:line="440" w:lineRule="exact"/>
        <w:ind w:firstLine="560" w:firstLineChars="200"/>
        <w:rPr>
          <w:rFonts w:ascii="宋体" w:hAnsi="宋体" w:cs="Arial"/>
          <w:color w:val="000000"/>
          <w:sz w:val="28"/>
          <w:highlight w:val="white"/>
        </w:rPr>
      </w:pPr>
      <w:r>
        <w:rPr>
          <w:rFonts w:hint="eastAsia" w:ascii="宋体" w:hAnsi="宋体" w:cs="Arial"/>
          <w:color w:val="000000"/>
          <w:sz w:val="28"/>
          <w:highlight w:val="white"/>
        </w:rPr>
        <w:t>评标按照下列程序进行：1）评标准备；2）初步评审；3）详细评审；4）推荐中标候选人，撰写评标报告。</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16.3评标准备</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16.3.1评标委员会成员签到</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u w:val="single"/>
        </w:rPr>
      </w:pPr>
      <w:r>
        <w:rPr>
          <w:rFonts w:hint="eastAsia" w:ascii="宋体" w:hAnsi="宋体" w:cs="Arial"/>
          <w:b/>
          <w:bCs/>
          <w:snapToGrid w:val="0"/>
          <w:color w:val="000000"/>
          <w:sz w:val="28"/>
          <w:highlight w:val="white"/>
        </w:rPr>
        <w:t>评标委员会成员到达评标现场时应在签到表上签到以证明出席。</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16.3.2 评标委员会的分工</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评标委员会首先推选一名评标委员会负责人。评标委员会负责人负责评标活动的组织领导工作。评标委员会负责人在与其他评标委员会成员商议的基础上可以将评标委员会划分为技术组和商务组。</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16.3.3 熟悉文件资料</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16.4初步评审</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16.4.1响应性评审</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16.4.2算术错误修正</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16.4.3澄清、说明或补正</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在初步评审过程中，评标委员会应当就投标文件中不明确的内容要求投标人进行澄清．</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16.5详细评审</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rPr>
      </w:pPr>
      <w:r>
        <w:rPr>
          <w:rFonts w:hint="eastAsia" w:ascii="宋体" w:hAnsi="宋体" w:cs="Arial"/>
          <w:b/>
          <w:bCs/>
          <w:snapToGrid w:val="0"/>
          <w:color w:val="000000"/>
          <w:sz w:val="28"/>
          <w:highlight w:val="white"/>
        </w:rPr>
        <w:t>只有通过了初步评审、被判定为合格的投标方可进入详细评审。</w:t>
      </w:r>
    </w:p>
    <w:p>
      <w:pPr>
        <w:adjustRightInd w:val="0"/>
        <w:snapToGrid w:val="0"/>
        <w:spacing w:line="440" w:lineRule="exact"/>
        <w:ind w:firstLine="560" w:firstLineChars="200"/>
        <w:rPr>
          <w:rFonts w:ascii="宋体" w:hAnsi="宋体" w:cs="Arial"/>
          <w:color w:val="000000"/>
          <w:sz w:val="28"/>
          <w:highlight w:val="white"/>
        </w:rPr>
      </w:pPr>
      <w:r>
        <w:rPr>
          <w:rFonts w:hint="eastAsia" w:ascii="宋体" w:hAnsi="宋体" w:cs="Arial"/>
          <w:color w:val="000000"/>
          <w:sz w:val="28"/>
          <w:highlight w:val="white"/>
        </w:rPr>
        <w:t>1、投标文件载明的货物包装方式、检验标准和方法等不符合招标文件的要求；</w:t>
      </w:r>
    </w:p>
    <w:p>
      <w:pPr>
        <w:adjustRightInd w:val="0"/>
        <w:snapToGrid w:val="0"/>
        <w:spacing w:line="440" w:lineRule="exact"/>
        <w:ind w:firstLine="560" w:firstLineChars="200"/>
        <w:rPr>
          <w:rFonts w:ascii="宋体" w:hAnsi="宋体" w:cs="Arial"/>
          <w:color w:val="000000"/>
          <w:sz w:val="28"/>
          <w:highlight w:val="white"/>
        </w:rPr>
      </w:pPr>
      <w:r>
        <w:rPr>
          <w:rFonts w:hint="eastAsia" w:ascii="宋体" w:hAnsi="宋体" w:cs="Arial"/>
          <w:color w:val="000000"/>
          <w:sz w:val="28"/>
          <w:highlight w:val="white"/>
        </w:rPr>
        <w:t>2、投标文件提出了不能满足招标文件要求或招标人不能接受的工程验收、计量、价款结算支付办法；</w:t>
      </w:r>
    </w:p>
    <w:p>
      <w:pPr>
        <w:adjustRightInd w:val="0"/>
        <w:snapToGrid w:val="0"/>
        <w:spacing w:line="440" w:lineRule="exact"/>
        <w:ind w:firstLine="560" w:firstLineChars="200"/>
        <w:rPr>
          <w:rFonts w:ascii="宋体" w:hAnsi="宋体" w:cs="Arial"/>
          <w:color w:val="000000"/>
          <w:sz w:val="28"/>
          <w:highlight w:val="white"/>
        </w:rPr>
      </w:pPr>
      <w:r>
        <w:rPr>
          <w:rFonts w:hint="eastAsia" w:ascii="宋体" w:hAnsi="宋体" w:cs="Arial"/>
          <w:color w:val="000000"/>
          <w:sz w:val="28"/>
          <w:highlight w:val="white"/>
        </w:rPr>
        <w:t>3、经评标委员会认定投标人的投标报价低于成本价的；</w:t>
      </w:r>
    </w:p>
    <w:p>
      <w:pPr>
        <w:adjustRightInd w:val="0"/>
        <w:snapToGrid w:val="0"/>
        <w:spacing w:line="440" w:lineRule="exact"/>
        <w:ind w:firstLine="560" w:firstLineChars="200"/>
        <w:rPr>
          <w:rFonts w:ascii="宋体" w:hAnsi="宋体" w:cs="Arial"/>
          <w:color w:val="000000"/>
          <w:sz w:val="28"/>
          <w:highlight w:val="white"/>
        </w:rPr>
      </w:pPr>
      <w:r>
        <w:rPr>
          <w:rFonts w:hint="eastAsia" w:ascii="宋体" w:hAnsi="宋体" w:cs="Arial"/>
          <w:color w:val="000000"/>
          <w:sz w:val="28"/>
          <w:highlight w:val="white"/>
        </w:rPr>
        <w:t>4、投标人未按照招标文件的要求提供必须提交的相关资料的；</w:t>
      </w:r>
    </w:p>
    <w:p>
      <w:pPr>
        <w:adjustRightInd w:val="0"/>
        <w:snapToGrid w:val="0"/>
        <w:spacing w:line="440" w:lineRule="exact"/>
        <w:ind w:firstLine="560" w:firstLineChars="200"/>
        <w:rPr>
          <w:rFonts w:ascii="宋体" w:hAnsi="宋体" w:cs="TimesNewRomanPSMT"/>
          <w:color w:val="0000FF"/>
          <w:sz w:val="28"/>
          <w:szCs w:val="32"/>
          <w:highlight w:val="yellow"/>
        </w:rPr>
      </w:pPr>
      <w:r>
        <w:rPr>
          <w:rFonts w:hint="eastAsia" w:ascii="宋体" w:hAnsi="宋体" w:cs="Arial"/>
          <w:color w:val="000000"/>
          <w:sz w:val="28"/>
          <w:highlight w:val="white"/>
        </w:rPr>
        <w:t>5、投标文件附有招标人不能接受的条件；</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17评标标准及方法</w:t>
      </w:r>
    </w:p>
    <w:p>
      <w:pPr>
        <w:snapToGrid w:val="0"/>
        <w:spacing w:line="440" w:lineRule="exact"/>
        <w:ind w:left="981" w:leftChars="267" w:hanging="420" w:hangingChars="150"/>
        <w:rPr>
          <w:rFonts w:ascii="宋体" w:hAnsi="宋体" w:cs="TimesNewRomanPSMT"/>
          <w:color w:val="FF0000"/>
          <w:sz w:val="28"/>
          <w:szCs w:val="32"/>
        </w:rPr>
      </w:pPr>
      <w:r>
        <w:rPr>
          <w:rFonts w:hint="eastAsia" w:ascii="宋体" w:hAnsi="宋体" w:cs="TimesNewRomanPSMT"/>
          <w:color w:val="0000FF"/>
          <w:sz w:val="28"/>
          <w:szCs w:val="32"/>
        </w:rPr>
        <w:t>经评审的低价评分法</w:t>
      </w:r>
    </w:p>
    <w:p>
      <w:pPr>
        <w:spacing w:line="440" w:lineRule="exact"/>
        <w:ind w:firstLine="560" w:firstLineChars="200"/>
        <w:rPr>
          <w:rFonts w:ascii="宋体" w:hAnsi="宋体" w:cs="Arial"/>
          <w:color w:val="000000"/>
          <w:sz w:val="28"/>
          <w:highlight w:val="white"/>
        </w:rPr>
      </w:pPr>
      <w:r>
        <w:rPr>
          <w:rFonts w:hint="eastAsia" w:ascii="宋体" w:hAnsi="宋体" w:cs="Arial"/>
          <w:color w:val="000000"/>
          <w:sz w:val="28"/>
          <w:highlight w:val="white"/>
        </w:rPr>
        <w:t>18.定标</w:t>
      </w:r>
    </w:p>
    <w:p>
      <w:pPr>
        <w:tabs>
          <w:tab w:val="left" w:pos="2127"/>
        </w:tabs>
        <w:adjustRightInd w:val="0"/>
        <w:snapToGrid w:val="0"/>
        <w:spacing w:line="440" w:lineRule="exact"/>
        <w:ind w:firstLine="560"/>
        <w:rPr>
          <w:rFonts w:ascii="宋体" w:hAnsi="宋体" w:cs="Arial"/>
          <w:color w:val="000000"/>
          <w:sz w:val="28"/>
          <w:highlight w:val="white"/>
        </w:rPr>
      </w:pPr>
      <w:r>
        <w:rPr>
          <w:rFonts w:hint="eastAsia" w:ascii="宋体" w:hAnsi="宋体" w:cs="Arial"/>
          <w:color w:val="000000"/>
          <w:sz w:val="28"/>
          <w:highlight w:val="white"/>
        </w:rPr>
        <w:t>18.1评标委员会完成评标后，应当向招标人提出书面评标报告，阐明评标委员会对各投标文件的评审和比较意见，并按照招标文件中规定的评标方法，推荐3名有排序的合格中标候选人。</w:t>
      </w:r>
    </w:p>
    <w:p>
      <w:pPr>
        <w:adjustRightInd w:val="0"/>
        <w:snapToGrid w:val="0"/>
        <w:spacing w:line="440" w:lineRule="exact"/>
        <w:ind w:firstLine="560"/>
        <w:rPr>
          <w:rFonts w:ascii="宋体" w:hAnsi="宋体" w:cs="Arial"/>
          <w:bCs/>
          <w:color w:val="000000"/>
          <w:spacing w:val="8"/>
          <w:sz w:val="28"/>
        </w:rPr>
      </w:pPr>
      <w:r>
        <w:rPr>
          <w:rFonts w:hint="eastAsia" w:ascii="宋体" w:hAnsi="宋体" w:cs="Arial"/>
          <w:bCs/>
          <w:color w:val="000000"/>
          <w:sz w:val="28"/>
          <w:highlight w:val="white"/>
        </w:rPr>
        <w:t>18.2</w:t>
      </w:r>
      <w:r>
        <w:rPr>
          <w:rFonts w:hint="eastAsia" w:ascii="宋体" w:hAnsi="宋体" w:cs="Arial"/>
          <w:bCs/>
          <w:color w:val="000000"/>
          <w:spacing w:val="8"/>
          <w:sz w:val="28"/>
          <w:highlight w:val="white"/>
        </w:rPr>
        <w:t>排序原则：</w:t>
      </w:r>
    </w:p>
    <w:p>
      <w:pPr>
        <w:adjustRightInd w:val="0"/>
        <w:snapToGrid w:val="0"/>
        <w:spacing w:line="440" w:lineRule="exact"/>
        <w:ind w:firstLine="576"/>
        <w:rPr>
          <w:rFonts w:ascii="宋体" w:hAnsi="宋体" w:cs="Arial"/>
          <w:b/>
          <w:bCs/>
          <w:spacing w:val="8"/>
          <w:sz w:val="28"/>
          <w:highlight w:val="white"/>
        </w:rPr>
      </w:pPr>
      <w:bookmarkStart w:id="13" w:name="EBf789983cee30437ab035183346e9fc54"/>
      <w:r>
        <w:rPr>
          <w:rFonts w:hint="eastAsia" w:ascii="宋体" w:hAnsi="宋体" w:cs="Arial"/>
          <w:b/>
          <w:bCs/>
          <w:spacing w:val="8"/>
          <w:sz w:val="28"/>
          <w:highlight w:val="white"/>
        </w:rPr>
        <w:t>综合评分法：</w:t>
      </w:r>
    </w:p>
    <w:p>
      <w:pPr>
        <w:adjustRightInd w:val="0"/>
        <w:snapToGrid w:val="0"/>
        <w:spacing w:line="440" w:lineRule="exact"/>
        <w:ind w:firstLine="576"/>
        <w:rPr>
          <w:rFonts w:ascii="宋体" w:hAnsi="宋体" w:cs="Arial"/>
          <w:b/>
          <w:bCs/>
          <w:spacing w:val="8"/>
          <w:sz w:val="28"/>
          <w:highlight w:val="white"/>
        </w:rPr>
      </w:pPr>
      <w:r>
        <w:rPr>
          <w:rFonts w:hint="eastAsia" w:ascii="宋体" w:hAnsi="宋体" w:cs="Arial"/>
          <w:b/>
          <w:bCs/>
          <w:spacing w:val="8"/>
          <w:sz w:val="28"/>
          <w:highlight w:val="white"/>
        </w:rPr>
        <w:t>（1）按评分分数高低从高到低进行排序；</w:t>
      </w:r>
    </w:p>
    <w:p>
      <w:pPr>
        <w:adjustRightInd w:val="0"/>
        <w:snapToGrid w:val="0"/>
        <w:spacing w:line="440" w:lineRule="exact"/>
        <w:ind w:firstLine="576"/>
        <w:rPr>
          <w:rFonts w:ascii="宋体" w:hAnsi="宋体" w:cs="Arial"/>
          <w:b/>
          <w:bCs/>
          <w:color w:val="FF0000"/>
          <w:spacing w:val="8"/>
          <w:sz w:val="28"/>
          <w:highlight w:val="white"/>
        </w:rPr>
      </w:pPr>
      <w:r>
        <w:rPr>
          <w:rFonts w:hint="eastAsia" w:ascii="宋体" w:hAnsi="宋体" w:cs="Arial"/>
          <w:b/>
          <w:bCs/>
          <w:spacing w:val="8"/>
          <w:sz w:val="28"/>
          <w:highlight w:val="white"/>
        </w:rPr>
        <w:t>（2）当评分分数相同时，由评标委员会决定</w:t>
      </w:r>
      <w:bookmarkEnd w:id="13"/>
      <w:r>
        <w:rPr>
          <w:rFonts w:hint="eastAsia" w:ascii="宋体" w:hAnsi="宋体" w:cs="Arial"/>
          <w:b/>
          <w:bCs/>
          <w:spacing w:val="8"/>
          <w:sz w:val="28"/>
          <w:highlight w:val="white"/>
        </w:rPr>
        <w:t>；</w:t>
      </w:r>
    </w:p>
    <w:p>
      <w:pPr>
        <w:tabs>
          <w:tab w:val="left" w:pos="1134"/>
        </w:tabs>
        <w:adjustRightInd w:val="0"/>
        <w:snapToGrid w:val="0"/>
        <w:spacing w:line="440" w:lineRule="exact"/>
        <w:ind w:firstLine="560"/>
        <w:rPr>
          <w:rFonts w:ascii="宋体" w:hAnsi="宋体" w:cs="Arial"/>
          <w:color w:val="000000"/>
          <w:spacing w:val="8"/>
          <w:sz w:val="28"/>
        </w:rPr>
      </w:pPr>
      <w:r>
        <w:rPr>
          <w:rFonts w:hint="eastAsia" w:ascii="宋体" w:hAnsi="宋体" w:cs="Arial"/>
          <w:color w:val="000000"/>
          <w:sz w:val="28"/>
          <w:highlight w:val="white"/>
        </w:rPr>
        <w:t>18.3确定中标人的原则：招标人按照评委会的书面评标报告中的中标候选人排序，确定排名第一的为中标人。</w:t>
      </w:r>
      <w:r>
        <w:rPr>
          <w:rFonts w:hint="eastAsia" w:ascii="宋体" w:hAnsi="宋体" w:cs="Arial"/>
          <w:color w:val="000000"/>
          <w:spacing w:val="8"/>
          <w:sz w:val="28"/>
          <w:highlight w:val="white"/>
        </w:rPr>
        <w:t>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pPr>
        <w:tabs>
          <w:tab w:val="left" w:pos="1134"/>
        </w:tabs>
        <w:adjustRightInd w:val="0"/>
        <w:snapToGrid w:val="0"/>
        <w:spacing w:line="440" w:lineRule="exact"/>
        <w:ind w:firstLine="560"/>
        <w:rPr>
          <w:rFonts w:ascii="宋体" w:hAnsi="宋体" w:cs="Arial"/>
          <w:b/>
          <w:bCs/>
          <w:color w:val="000000"/>
          <w:spacing w:val="8"/>
          <w:sz w:val="28"/>
        </w:rPr>
      </w:pPr>
    </w:p>
    <w:p>
      <w:pPr>
        <w:spacing w:line="440" w:lineRule="exact"/>
        <w:rPr>
          <w:rFonts w:ascii="宋体" w:hAnsi="宋体"/>
          <w:b/>
          <w:sz w:val="32"/>
          <w:szCs w:val="32"/>
          <w:highlight w:val="white"/>
        </w:rPr>
      </w:pPr>
      <w:r>
        <w:rPr>
          <w:rFonts w:hint="eastAsia" w:ascii="宋体" w:hAnsi="宋体"/>
          <w:b/>
          <w:sz w:val="32"/>
          <w:szCs w:val="32"/>
          <w:highlight w:val="white"/>
        </w:rPr>
        <w:t>九、授  予  合  同</w:t>
      </w:r>
    </w:p>
    <w:p>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19、发放中标通知书</w:t>
      </w:r>
    </w:p>
    <w:p>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20、合同签订</w:t>
      </w:r>
    </w:p>
    <w:p>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20.1</w:t>
      </w:r>
      <w:r>
        <w:rPr>
          <w:rFonts w:hint="eastAsia" w:ascii="宋体" w:hAnsi="宋体" w:cs="Arial"/>
          <w:color w:val="000000"/>
          <w:spacing w:val="8"/>
          <w:sz w:val="28"/>
          <w:highlight w:val="white"/>
        </w:rPr>
        <w:t>招标人与中标人将根据《中华人民共和国民法典》的规定，依据招标文件和投标文件签订施工合同，投标人的投标文件内容应作为合同的组成部分。</w:t>
      </w:r>
    </w:p>
    <w:p>
      <w:pPr>
        <w:pStyle w:val="6"/>
        <w:ind w:firstLine="720" w:firstLineChars="200"/>
        <w:jc w:val="center"/>
        <w:rPr>
          <w:rFonts w:ascii="仿宋_GB2312" w:hAnsi="宋体" w:eastAsia="仿宋_GB2312"/>
          <w:sz w:val="36"/>
        </w:rPr>
      </w:pPr>
    </w:p>
    <w:p>
      <w:pPr>
        <w:pStyle w:val="6"/>
        <w:rPr>
          <w:rFonts w:ascii="仿宋_GB2312" w:hAnsi="宋体" w:eastAsia="仿宋_GB2312"/>
          <w:sz w:val="36"/>
        </w:rPr>
      </w:pPr>
    </w:p>
    <w:p>
      <w:pPr>
        <w:pStyle w:val="6"/>
        <w:rPr>
          <w:rFonts w:ascii="仿宋_GB2312" w:hAnsi="宋体" w:eastAsia="仿宋_GB2312"/>
          <w:sz w:val="36"/>
        </w:rPr>
      </w:pPr>
    </w:p>
    <w:p>
      <w:pPr>
        <w:pStyle w:val="6"/>
        <w:rPr>
          <w:rFonts w:ascii="仿宋_GB2312" w:hAnsi="宋体" w:eastAsia="仿宋_GB2312"/>
          <w:sz w:val="36"/>
        </w:rPr>
      </w:pPr>
    </w:p>
    <w:p>
      <w:pPr>
        <w:pStyle w:val="6"/>
        <w:rPr>
          <w:rFonts w:ascii="仿宋_GB2312" w:hAnsi="宋体" w:eastAsia="仿宋_GB2312"/>
          <w:sz w:val="36"/>
        </w:rPr>
      </w:pPr>
    </w:p>
    <w:p>
      <w:pPr>
        <w:pStyle w:val="6"/>
        <w:rPr>
          <w:rFonts w:ascii="仿宋_GB2312" w:hAnsi="宋体" w:eastAsia="仿宋_GB2312"/>
          <w:sz w:val="36"/>
        </w:rPr>
      </w:pPr>
    </w:p>
    <w:p>
      <w:pPr>
        <w:pStyle w:val="6"/>
        <w:rPr>
          <w:rFonts w:ascii="仿宋_GB2312" w:hAnsi="宋体" w:eastAsia="仿宋_GB2312"/>
          <w:sz w:val="36"/>
        </w:rPr>
      </w:pPr>
    </w:p>
    <w:p>
      <w:pPr>
        <w:pStyle w:val="6"/>
        <w:rPr>
          <w:rFonts w:ascii="仿宋_GB2312" w:hAnsi="宋体" w:eastAsia="仿宋_GB2312"/>
          <w:sz w:val="36"/>
        </w:rPr>
      </w:pPr>
    </w:p>
    <w:p>
      <w:pPr>
        <w:pStyle w:val="6"/>
        <w:rPr>
          <w:rFonts w:ascii="仿宋_GB2312" w:hAnsi="宋体" w:eastAsia="仿宋_GB2312"/>
          <w:sz w:val="36"/>
        </w:rPr>
      </w:pPr>
    </w:p>
    <w:p>
      <w:pPr>
        <w:pStyle w:val="6"/>
        <w:ind w:firstLine="2700" w:firstLineChars="750"/>
        <w:rPr>
          <w:rFonts w:ascii="仿宋_GB2312" w:hAnsi="宋体" w:eastAsia="仿宋_GB2312"/>
          <w:sz w:val="36"/>
        </w:rPr>
      </w:pPr>
      <w:r>
        <w:rPr>
          <w:rFonts w:hint="eastAsia" w:ascii="仿宋_GB2312" w:hAnsi="宋体" w:eastAsia="仿宋_GB2312"/>
          <w:sz w:val="36"/>
        </w:rPr>
        <w:t>一 、投标函</w:t>
      </w:r>
    </w:p>
    <w:p>
      <w:pPr>
        <w:pStyle w:val="6"/>
        <w:spacing w:line="360" w:lineRule="exact"/>
        <w:ind w:firstLine="480" w:firstLineChars="200"/>
        <w:rPr>
          <w:rFonts w:ascii="仿宋_GB2312" w:hAnsi="宋体" w:eastAsia="仿宋_GB2312"/>
          <w:color w:val="000000"/>
          <w:sz w:val="24"/>
        </w:rPr>
      </w:pPr>
      <w:r>
        <w:rPr>
          <w:rFonts w:hint="eastAsia" w:ascii="仿宋_GB2312" w:hAnsi="宋体" w:eastAsia="仿宋_GB2312"/>
          <w:sz w:val="24"/>
        </w:rPr>
        <w:t>招标人：</w:t>
      </w:r>
      <w:r>
        <w:rPr>
          <w:rFonts w:hint="eastAsia" w:ascii="仿宋_GB2312" w:hAnsi="宋体" w:eastAsia="仿宋_GB2312"/>
          <w:snapToGrid w:val="0"/>
          <w:kern w:val="0"/>
          <w:sz w:val="24"/>
        </w:rPr>
        <w:t xml:space="preserve">        </w:t>
      </w:r>
      <w:r>
        <w:rPr>
          <w:rFonts w:hint="eastAsia" w:ascii="仿宋_GB2312" w:hAnsi="宋体" w:eastAsia="仿宋_GB2312"/>
          <w:color w:val="000000"/>
          <w:sz w:val="24"/>
        </w:rPr>
        <w:t xml:space="preserve">                                   </w:t>
      </w:r>
    </w:p>
    <w:p>
      <w:pPr>
        <w:pStyle w:val="6"/>
        <w:spacing w:line="360" w:lineRule="exact"/>
        <w:ind w:firstLine="480" w:firstLineChars="200"/>
        <w:rPr>
          <w:rFonts w:ascii="仿宋_GB2312" w:hAnsi="宋体" w:eastAsia="仿宋_GB2312"/>
          <w:sz w:val="24"/>
        </w:rPr>
      </w:pPr>
      <w:r>
        <w:rPr>
          <w:rFonts w:ascii="仿宋_GB2312" w:hAnsi="宋体" w:eastAsia="仿宋_GB2312"/>
          <w:sz w:val="24"/>
        </w:rPr>
        <mc:AlternateContent>
          <mc:Choice Requires="wps">
            <w:drawing>
              <wp:anchor distT="0" distB="0" distL="114300" distR="114300" simplePos="0" relativeHeight="251659264" behindDoc="0" locked="0" layoutInCell="1" allowOverlap="1">
                <wp:simplePos x="0" y="0"/>
                <wp:positionH relativeFrom="column">
                  <wp:posOffset>584200</wp:posOffset>
                </wp:positionH>
                <wp:positionV relativeFrom="paragraph">
                  <wp:posOffset>13970</wp:posOffset>
                </wp:positionV>
                <wp:extent cx="2895600" cy="0"/>
                <wp:effectExtent l="0" t="0" r="0" b="0"/>
                <wp:wrapNone/>
                <wp:docPr id="1" name="直线 3"/>
                <wp:cNvGraphicFramePr/>
                <a:graphic xmlns:a="http://schemas.openxmlformats.org/drawingml/2006/main">
                  <a:graphicData uri="http://schemas.microsoft.com/office/word/2010/wordprocessingShape">
                    <wps:wsp>
                      <wps:cNvCnPr/>
                      <wps:spPr>
                        <a:xfrm>
                          <a:off x="0" y="0"/>
                          <a:ext cx="2895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46pt;margin-top:1.1pt;height:0pt;width:228pt;z-index:251659264;mso-width-relative:page;mso-height-relative:page;" filled="f" stroked="t" coordsize="21600,21600" o:gfxdata="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z2nWtMAAAAG&#10;AQAADwAAAAAAAAABACAAAAAiAAAAZHJzL2Rvd25yZXYueG1sUEsBAhQAFAAAAAgAh07iQJawblzo&#10;AQAA2wMAAA4AAAAAAAAAAQAgAAAAIgEAAGRycy9lMm9Eb2MueG1sUEsFBgAAAAAGAAYAWQEAAHwF&#10;AAAAAA==&#10;">
                <v:fill on="f" focussize="0,0"/>
                <v:stroke color="#000000" joinstyle="round"/>
                <v:imagedata o:title=""/>
                <o:lock v:ext="edit" aspectratio="f"/>
              </v:line>
            </w:pict>
          </mc:Fallback>
        </mc:AlternateContent>
      </w:r>
      <w:r>
        <w:rPr>
          <w:rFonts w:hint="eastAsia" w:ascii="仿宋_GB2312" w:hAnsi="宋体" w:eastAsia="仿宋_GB2312"/>
          <w:sz w:val="24"/>
        </w:rPr>
        <w:t>1、根据已收到的</w:t>
      </w:r>
      <w:r>
        <w:rPr>
          <w:rFonts w:hint="eastAsia" w:ascii="仿宋_GB2312" w:hAnsi="宋体" w:eastAsia="仿宋_GB2312"/>
          <w:sz w:val="24"/>
          <w:u w:val="single"/>
        </w:rPr>
        <w:t xml:space="preserve">                </w:t>
      </w:r>
      <w:r>
        <w:rPr>
          <w:rFonts w:hint="eastAsia" w:ascii="仿宋_GB2312" w:hAnsi="宋体" w:eastAsia="仿宋_GB2312"/>
          <w:sz w:val="24"/>
        </w:rPr>
        <w:t>工程的招标文件，遵照《房屋建筑和市政基础设施工程施工招标投标管理办法》的规定，我单位经考察现场和研究上述工程招标文件的投标须知、合同条件、技术规范、现场勘查情况等，我方愿以</w:t>
      </w:r>
      <w:r>
        <w:rPr>
          <w:rFonts w:hint="eastAsia" w:ascii="Times New Roman" w:hAnsi="Times New Roman"/>
          <w:sz w:val="24"/>
          <w:szCs w:val="24"/>
          <w:u w:val="single"/>
        </w:rPr>
        <w:t xml:space="preserve">   </w:t>
      </w:r>
      <w:r>
        <w:rPr>
          <w:rFonts w:hint="eastAsia" w:ascii="Times New Roman" w:hAnsi="Times New Roman"/>
          <w:sz w:val="24"/>
          <w:szCs w:val="24"/>
        </w:rPr>
        <w:t>元/平方（含9%税）</w:t>
      </w:r>
      <w:r>
        <w:rPr>
          <w:rFonts w:hint="eastAsia" w:ascii="仿宋_GB2312" w:hAnsi="宋体" w:eastAsia="仿宋_GB2312"/>
          <w:sz w:val="24"/>
        </w:rPr>
        <w:t>进行投标，按上述合同条件、技术规范、图纸、工程量清单及工程预算的条件承包上述工程的施工、竣工。</w:t>
      </w:r>
    </w:p>
    <w:p>
      <w:pPr>
        <w:pStyle w:val="6"/>
        <w:spacing w:line="360" w:lineRule="exact"/>
        <w:ind w:left="142" w:firstLine="480" w:firstLineChars="200"/>
        <w:rPr>
          <w:rFonts w:ascii="仿宋_GB2312" w:hAnsi="宋体" w:eastAsia="仿宋_GB2312"/>
          <w:sz w:val="24"/>
        </w:rPr>
      </w:pPr>
      <w:r>
        <w:rPr>
          <w:rFonts w:hint="eastAsia" w:ascii="仿宋_GB2312" w:hAnsi="宋体" w:eastAsia="仿宋_GB2312"/>
          <w:sz w:val="24"/>
        </w:rPr>
        <w:t xml:space="preserve">2、一旦我方中标，我方保证在2022年 月  日开工，2022年  月  日竣工或收到开工令按指示开工，即 </w:t>
      </w:r>
      <w:r>
        <w:rPr>
          <w:rFonts w:hint="eastAsia" w:ascii="仿宋_GB2312" w:hAnsi="宋体" w:eastAsia="仿宋_GB2312"/>
          <w:sz w:val="24"/>
          <w:u w:val="single"/>
        </w:rPr>
        <w:t xml:space="preserve">           </w:t>
      </w:r>
      <w:r>
        <w:rPr>
          <w:rFonts w:hint="eastAsia" w:ascii="仿宋_GB2312" w:hAnsi="宋体" w:eastAsia="仿宋_GB2312"/>
          <w:sz w:val="24"/>
        </w:rPr>
        <w:t xml:space="preserve">(日历日)内竣工，并达到 </w:t>
      </w:r>
      <w:r>
        <w:rPr>
          <w:rFonts w:hint="eastAsia" w:ascii="仿宋_GB2312" w:hAnsi="宋体" w:eastAsia="仿宋_GB2312"/>
          <w:sz w:val="24"/>
          <w:u w:val="single"/>
        </w:rPr>
        <w:t xml:space="preserve">             </w:t>
      </w:r>
      <w:r>
        <w:rPr>
          <w:rFonts w:hint="eastAsia" w:ascii="仿宋_GB2312" w:hAnsi="宋体" w:eastAsia="仿宋_GB2312"/>
          <w:sz w:val="24"/>
        </w:rPr>
        <w:t>（质量标准）。</w:t>
      </w:r>
    </w:p>
    <w:p>
      <w:pPr>
        <w:pStyle w:val="6"/>
        <w:spacing w:line="360" w:lineRule="exact"/>
        <w:ind w:firstLine="480" w:firstLineChars="200"/>
        <w:rPr>
          <w:rFonts w:ascii="仿宋_GB2312" w:hAnsi="宋体" w:eastAsia="仿宋_GB2312"/>
          <w:sz w:val="24"/>
        </w:rPr>
      </w:pPr>
      <w:r>
        <w:rPr>
          <w:rFonts w:hint="eastAsia" w:ascii="仿宋_GB2312" w:hAnsi="宋体" w:eastAsia="仿宋_GB2312"/>
          <w:sz w:val="24"/>
        </w:rPr>
        <w:t>3、我方同意所递交的投标文件在“投标须知”前附表规定的投标有效期内有效，在此期间内我方的投标有可能中标，我方将受此约束。</w:t>
      </w:r>
    </w:p>
    <w:p>
      <w:pPr>
        <w:pStyle w:val="6"/>
        <w:spacing w:line="360" w:lineRule="exact"/>
        <w:ind w:firstLine="480" w:firstLineChars="200"/>
        <w:rPr>
          <w:rFonts w:ascii="仿宋_GB2312" w:hAnsi="宋体" w:eastAsia="仿宋_GB2312"/>
          <w:sz w:val="24"/>
        </w:rPr>
      </w:pPr>
      <w:r>
        <w:rPr>
          <w:rFonts w:hint="eastAsia" w:ascii="仿宋_GB2312" w:hAnsi="宋体" w:eastAsia="仿宋_GB2312"/>
          <w:sz w:val="24"/>
        </w:rPr>
        <w:t>4、除非另外达成协议并生效，你方的中标通知书和本投标文件将构成约束我们双方的合同。</w:t>
      </w:r>
    </w:p>
    <w:p>
      <w:pPr>
        <w:pStyle w:val="6"/>
        <w:spacing w:line="360" w:lineRule="exact"/>
        <w:ind w:firstLine="480" w:firstLineChars="200"/>
        <w:rPr>
          <w:rFonts w:ascii="仿宋_GB2312" w:hAnsi="宋体" w:eastAsia="仿宋_GB2312"/>
          <w:sz w:val="24"/>
        </w:rPr>
      </w:pPr>
      <w:r>
        <w:rPr>
          <w:rFonts w:hint="eastAsia" w:ascii="仿宋_GB2312" w:hAnsi="宋体" w:eastAsia="仿宋_GB2312"/>
          <w:sz w:val="24"/>
        </w:rPr>
        <w:t>5、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pPr>
        <w:pStyle w:val="6"/>
        <w:spacing w:line="360" w:lineRule="exact"/>
        <w:ind w:firstLine="480" w:firstLineChars="200"/>
        <w:rPr>
          <w:rFonts w:ascii="仿宋_GB2312" w:hAnsi="宋体" w:eastAsia="仿宋_GB2312"/>
          <w:sz w:val="24"/>
        </w:rPr>
      </w:pPr>
      <w:r>
        <w:rPr>
          <w:rFonts w:hint="eastAsia" w:ascii="仿宋_GB2312" w:hAnsi="宋体" w:eastAsia="仿宋_GB2312"/>
          <w:vanish/>
          <w:sz w:val="24"/>
        </w:rPr>
        <w:t xml:space="preserve">按诺，6/                                                   </w:t>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sz w:val="24"/>
        </w:rPr>
        <w:t>7、我方承诺为本工程投入的项目人员符合贵公司相关规定，如有虚假，我方愿接受业主的相关处罚，并记入企业的诚信管理档案。</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投标人：(盖章)</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单位地址：</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法定代表人或委托代理人：(盖章)</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邮政编码：</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电话：</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传真：</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开户银行名称：</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银行帐号：</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开户行地址：</w:t>
      </w:r>
    </w:p>
    <w:p>
      <w:pPr>
        <w:pStyle w:val="6"/>
        <w:spacing w:line="360" w:lineRule="auto"/>
        <w:ind w:firstLine="3720" w:firstLineChars="1550"/>
        <w:rPr>
          <w:rFonts w:ascii="仿宋_GB2312" w:hAnsi="宋体" w:eastAsia="仿宋_GB2312"/>
          <w:sz w:val="24"/>
        </w:rPr>
      </w:pPr>
      <w:r>
        <w:rPr>
          <w:rFonts w:hint="eastAsia" w:ascii="仿宋_GB2312" w:hAnsi="宋体" w:eastAsia="仿宋_GB2312"/>
          <w:sz w:val="24"/>
        </w:rPr>
        <w:t>日期：      年      月      日</w:t>
      </w:r>
    </w:p>
    <w:p>
      <w:pPr>
        <w:pStyle w:val="6"/>
        <w:ind w:firstLine="2100" w:firstLineChars="750"/>
        <w:rPr>
          <w:rFonts w:hAnsi="宋体"/>
          <w:snapToGrid w:val="0"/>
          <w:sz w:val="28"/>
          <w:highlight w:val="white"/>
        </w:rPr>
      </w:pPr>
    </w:p>
    <w:p>
      <w:pPr>
        <w:pStyle w:val="6"/>
        <w:ind w:firstLine="2100" w:firstLineChars="750"/>
        <w:rPr>
          <w:rFonts w:hAnsi="宋体"/>
          <w:snapToGrid w:val="0"/>
          <w:sz w:val="28"/>
          <w:highlight w:val="white"/>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600" w:lineRule="exact"/>
        <w:jc w:val="center"/>
        <w:rPr>
          <w:rFonts w:ascii="方正小标宋_GBK" w:hAnsi="宋体" w:eastAsia="方正小标宋_GBK"/>
          <w:b/>
          <w:sz w:val="36"/>
          <w:szCs w:val="36"/>
        </w:rPr>
      </w:pPr>
      <w:r>
        <w:rPr>
          <w:rFonts w:hint="eastAsia" w:ascii="方正小标宋_GBK" w:hAnsi="宋体" w:eastAsia="方正小标宋_GBK"/>
          <w:b/>
          <w:sz w:val="36"/>
          <w:szCs w:val="36"/>
          <w:u w:val="single"/>
        </w:rPr>
        <w:t xml:space="preserve">            </w:t>
      </w:r>
      <w:r>
        <w:rPr>
          <w:rFonts w:hint="eastAsia" w:ascii="方正小标宋_GBK" w:hAnsi="宋体" w:eastAsia="方正小标宋_GBK"/>
          <w:b/>
          <w:sz w:val="36"/>
          <w:szCs w:val="36"/>
        </w:rPr>
        <w:t>专业分包合同</w:t>
      </w:r>
    </w:p>
    <w:p>
      <w:pPr>
        <w:spacing w:line="600" w:lineRule="exact"/>
        <w:jc w:val="center"/>
        <w:rPr>
          <w:rFonts w:ascii="宋体" w:hAnsi="宋体"/>
          <w:b/>
          <w:sz w:val="32"/>
          <w:szCs w:val="32"/>
        </w:rPr>
      </w:pPr>
    </w:p>
    <w:p>
      <w:pPr>
        <w:tabs>
          <w:tab w:val="left" w:pos="7035"/>
          <w:tab w:val="left" w:pos="7245"/>
          <w:tab w:val="left" w:pos="7455"/>
        </w:tabs>
        <w:spacing w:line="600" w:lineRule="exact"/>
        <w:jc w:val="left"/>
        <w:rPr>
          <w:rFonts w:ascii="方正仿宋_GBK" w:hAnsi="方正仿宋_GBK" w:eastAsia="方正仿宋_GBK" w:cs="方正仿宋_GBK"/>
          <w:bCs/>
          <w:sz w:val="24"/>
          <w:szCs w:val="24"/>
          <w:u w:val="single"/>
        </w:rPr>
      </w:pPr>
      <w:r>
        <w:rPr>
          <w:rFonts w:hint="eastAsia" w:ascii="方正仿宋_GBK" w:hAnsi="方正仿宋_GBK" w:eastAsia="方正仿宋_GBK" w:cs="方正仿宋_GBK"/>
          <w:bCs/>
          <w:sz w:val="24"/>
          <w:szCs w:val="24"/>
        </w:rPr>
        <w:t>甲方：</w:t>
      </w:r>
      <w:r>
        <w:rPr>
          <w:rFonts w:hint="eastAsia" w:ascii="方正仿宋_GBK" w:hAnsi="方正仿宋_GBK" w:eastAsia="方正仿宋_GBK" w:cs="方正仿宋_GBK"/>
          <w:bCs/>
          <w:sz w:val="24"/>
          <w:szCs w:val="24"/>
          <w:u w:val="single"/>
        </w:rPr>
        <w:t>扬州市上善建设工程有限公司  （总包方）</w:t>
      </w:r>
    </w:p>
    <w:p>
      <w:pPr>
        <w:tabs>
          <w:tab w:val="left" w:pos="7140"/>
          <w:tab w:val="left" w:pos="7380"/>
        </w:tabs>
        <w:spacing w:line="600" w:lineRule="exact"/>
        <w:jc w:val="left"/>
        <w:rPr>
          <w:rFonts w:ascii="方正仿宋_GBK" w:hAnsi="方正仿宋_GBK" w:eastAsia="方正仿宋_GBK" w:cs="方正仿宋_GBK"/>
        </w:rPr>
      </w:pPr>
      <w:r>
        <w:rPr>
          <w:rFonts w:hint="eastAsia" w:ascii="方正仿宋_GBK" w:hAnsi="方正仿宋_GBK" w:eastAsia="方正仿宋_GBK" w:cs="方正仿宋_GBK"/>
          <w:bCs/>
          <w:sz w:val="24"/>
          <w:szCs w:val="24"/>
        </w:rPr>
        <w:t>乙方：</w:t>
      </w:r>
      <w:r>
        <w:rPr>
          <w:rFonts w:hint="eastAsia" w:ascii="方正仿宋_GBK" w:hAnsi="方正仿宋_GBK" w:eastAsia="方正仿宋_GBK" w:cs="方正仿宋_GBK"/>
          <w:bCs/>
          <w:sz w:val="24"/>
          <w:szCs w:val="24"/>
          <w:u w:val="single"/>
        </w:rPr>
        <w:t xml:space="preserve">                            （分包方）</w:t>
      </w:r>
    </w:p>
    <w:p>
      <w:pPr>
        <w:autoSpaceDE w:val="0"/>
        <w:autoSpaceDN w:val="0"/>
        <w:adjustRightInd w:val="0"/>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rPr>
        <w:t xml:space="preserve">    </w:t>
      </w:r>
      <w:r>
        <w:rPr>
          <w:rFonts w:hint="eastAsia" w:ascii="方正仿宋_GBK" w:hAnsi="方正仿宋_GBK" w:eastAsia="方正仿宋_GBK" w:cs="方正仿宋_GBK"/>
          <w:sz w:val="24"/>
          <w:szCs w:val="24"/>
        </w:rPr>
        <w:t>根据《中华人民共和国民法典》及国家有关法律、法规的规定，结合甲方与业主方签订的《施工合同》、工程量清单、施工图纸等为依据，甲、乙双方在平等、自愿、公平、诚实信用的基础上经友好协商，就甲方委托乙方进行</w:t>
      </w:r>
      <w:r>
        <w:rPr>
          <w:rFonts w:hint="eastAsia" w:ascii="方正仿宋_GBK" w:hAnsi="方正仿宋_GBK" w:eastAsia="方正仿宋_GBK" w:cs="方正仿宋_GBK"/>
          <w:b/>
          <w:kern w:val="0"/>
          <w:sz w:val="24"/>
          <w:szCs w:val="24"/>
          <w:u w:val="single"/>
        </w:rPr>
        <w:t xml:space="preserve">                 </w:t>
      </w:r>
      <w:r>
        <w:rPr>
          <w:rFonts w:hint="eastAsia" w:ascii="方正仿宋_GBK" w:hAnsi="方正仿宋_GBK" w:eastAsia="方正仿宋_GBK" w:cs="方正仿宋_GBK"/>
          <w:sz w:val="24"/>
          <w:szCs w:val="24"/>
        </w:rPr>
        <w:t>达成一致意见，特签订本合同，以资信守。</w:t>
      </w:r>
    </w:p>
    <w:p>
      <w:pPr>
        <w:tabs>
          <w:tab w:val="left" w:pos="0"/>
        </w:tabs>
        <w:spacing w:line="600" w:lineRule="exact"/>
        <w:jc w:val="left"/>
        <w:outlineLvl w:val="0"/>
        <w:rPr>
          <w:rFonts w:ascii="方正仿宋_GBK" w:hAnsi="方正仿宋_GBK" w:eastAsia="方正仿宋_GBK" w:cs="方正仿宋_GBK"/>
          <w:bCs/>
          <w:sz w:val="24"/>
          <w:szCs w:val="24"/>
        </w:rPr>
      </w:pPr>
      <w:r>
        <w:rPr>
          <w:rFonts w:hint="eastAsia" w:ascii="方正仿宋_GBK" w:hAnsi="方正仿宋_GBK" w:eastAsia="方正仿宋_GBK" w:cs="方正仿宋_GBK"/>
          <w:b/>
          <w:sz w:val="24"/>
          <w:szCs w:val="24"/>
        </w:rPr>
        <w:t xml:space="preserve">第一条  </w:t>
      </w:r>
      <w:r>
        <w:rPr>
          <w:rFonts w:hint="eastAsia" w:ascii="方正仿宋_GBK" w:hAnsi="方正仿宋_GBK" w:eastAsia="方正仿宋_GBK" w:cs="方正仿宋_GBK"/>
          <w:sz w:val="24"/>
          <w:szCs w:val="24"/>
        </w:rPr>
        <w:t>工程概况</w:t>
      </w:r>
      <w:r>
        <w:rPr>
          <w:rFonts w:hint="eastAsia" w:ascii="方正仿宋_GBK" w:hAnsi="方正仿宋_GBK" w:eastAsia="方正仿宋_GBK" w:cs="方正仿宋_GBK"/>
          <w:bCs/>
          <w:sz w:val="24"/>
          <w:szCs w:val="24"/>
        </w:rPr>
        <w:t xml:space="preserve"> </w:t>
      </w:r>
    </w:p>
    <w:p>
      <w:pPr>
        <w:tabs>
          <w:tab w:val="left" w:pos="0"/>
        </w:tabs>
        <w:spacing w:line="600" w:lineRule="exact"/>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1、工程名称：</w:t>
      </w:r>
    </w:p>
    <w:p>
      <w:pPr>
        <w:tabs>
          <w:tab w:val="left" w:pos="0"/>
        </w:tabs>
        <w:spacing w:line="600" w:lineRule="exact"/>
        <w:ind w:firstLine="360" w:firstLineChars="15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 xml:space="preserve"> 2、工程地点：</w:t>
      </w:r>
    </w:p>
    <w:p>
      <w:pPr>
        <w:spacing w:line="600" w:lineRule="exact"/>
        <w:jc w:val="left"/>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第二条  </w:t>
      </w:r>
      <w:r>
        <w:rPr>
          <w:rFonts w:hint="eastAsia" w:ascii="方正仿宋_GBK" w:hAnsi="方正仿宋_GBK" w:eastAsia="方正仿宋_GBK" w:cs="方正仿宋_GBK"/>
          <w:sz w:val="24"/>
          <w:szCs w:val="24"/>
        </w:rPr>
        <w:t>承包范围</w:t>
      </w:r>
    </w:p>
    <w:p>
      <w:pPr>
        <w:spacing w:line="600" w:lineRule="exact"/>
        <w:ind w:firstLine="4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施工图纸、工程量清单范围内的聚合物注浆加固处理   </w:t>
      </w:r>
    </w:p>
    <w:p>
      <w:pPr>
        <w:tabs>
          <w:tab w:val="left" w:pos="0"/>
        </w:tabs>
        <w:spacing w:line="600" w:lineRule="exact"/>
        <w:jc w:val="left"/>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第三条  </w:t>
      </w:r>
      <w:r>
        <w:rPr>
          <w:rFonts w:hint="eastAsia" w:ascii="方正仿宋_GBK" w:hAnsi="方正仿宋_GBK" w:eastAsia="方正仿宋_GBK" w:cs="方正仿宋_GBK"/>
          <w:sz w:val="24"/>
          <w:szCs w:val="24"/>
        </w:rPr>
        <w:t>承包方式</w:t>
      </w:r>
    </w:p>
    <w:p>
      <w:pPr>
        <w:tabs>
          <w:tab w:val="left" w:pos="0"/>
        </w:tabs>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w:t>
      </w:r>
      <w:r>
        <w:rPr>
          <w:rFonts w:hint="eastAsia" w:ascii="方正仿宋_GBK" w:hAnsi="方正仿宋_GBK" w:eastAsia="方正仿宋_GBK" w:cs="方正仿宋_GBK"/>
          <w:bCs/>
          <w:kern w:val="0"/>
          <w:sz w:val="24"/>
          <w:szCs w:val="24"/>
        </w:rPr>
        <w:t>专业分包</w:t>
      </w:r>
      <w:r>
        <w:rPr>
          <w:rFonts w:hint="eastAsia" w:ascii="方正仿宋_GBK" w:hAnsi="方正仿宋_GBK" w:eastAsia="方正仿宋_GBK" w:cs="方正仿宋_GBK"/>
          <w:bCs/>
          <w:sz w:val="24"/>
          <w:szCs w:val="24"/>
        </w:rPr>
        <w:t>工程</w:t>
      </w:r>
      <w:r>
        <w:rPr>
          <w:rFonts w:hint="eastAsia" w:ascii="方正仿宋_GBK" w:hAnsi="方正仿宋_GBK" w:eastAsia="方正仿宋_GBK" w:cs="方正仿宋_GBK"/>
          <w:sz w:val="24"/>
          <w:szCs w:val="24"/>
        </w:rPr>
        <w:t>采用包税金、包工包料、包安全、包验收、包风险、包保修等承包方式，保质保量地承包本聚合物注浆加固</w:t>
      </w:r>
      <w:r>
        <w:rPr>
          <w:rFonts w:hint="eastAsia" w:ascii="方正仿宋_GBK" w:hAnsi="方正仿宋_GBK" w:eastAsia="方正仿宋_GBK" w:cs="方正仿宋_GBK"/>
          <w:bCs/>
          <w:kern w:val="0"/>
          <w:sz w:val="24"/>
          <w:szCs w:val="24"/>
        </w:rPr>
        <w:t>分包</w:t>
      </w:r>
      <w:r>
        <w:rPr>
          <w:rFonts w:hint="eastAsia" w:ascii="方正仿宋_GBK" w:hAnsi="方正仿宋_GBK" w:eastAsia="方正仿宋_GBK" w:cs="方正仿宋_GBK"/>
          <w:sz w:val="24"/>
          <w:szCs w:val="24"/>
        </w:rPr>
        <w:t>工程。</w:t>
      </w:r>
    </w:p>
    <w:p>
      <w:pPr>
        <w:tabs>
          <w:tab w:val="left" w:pos="0"/>
          <w:tab w:val="left" w:pos="7350"/>
          <w:tab w:val="left" w:pos="7665"/>
        </w:tabs>
        <w:snapToGrid w:val="0"/>
        <w:spacing w:line="600" w:lineRule="exact"/>
        <w:ind w:firstLine="480" w:firstLineChars="200"/>
        <w:jc w:val="left"/>
        <w:rPr>
          <w:rFonts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2、结算办法：</w:t>
      </w:r>
      <w:r>
        <w:rPr>
          <w:rFonts w:hint="eastAsia" w:ascii="方正仿宋_GBK" w:hAnsi="方正仿宋_GBK" w:eastAsia="方正仿宋_GBK" w:cs="方正仿宋_GBK"/>
          <w:sz w:val="24"/>
          <w:szCs w:val="24"/>
          <w:highlight w:val="yellow"/>
        </w:rPr>
        <w:t xml:space="preserve">  </w:t>
      </w:r>
      <w:r>
        <w:rPr>
          <w:rFonts w:hint="eastAsia" w:ascii="方正仿宋_GBK" w:hAnsi="方正仿宋_GBK" w:eastAsia="方正仿宋_GBK" w:cs="方正仿宋_GBK"/>
          <w:sz w:val="24"/>
          <w:szCs w:val="24"/>
          <w:highlight w:val="yellow"/>
          <w:lang w:eastAsia="zh-CN"/>
        </w:rPr>
        <w:t>固定单价</w:t>
      </w:r>
      <w:r>
        <w:rPr>
          <w:rFonts w:hint="eastAsia" w:ascii="方正仿宋_GBK" w:hAnsi="方正仿宋_GBK" w:eastAsia="方正仿宋_GBK" w:cs="方正仿宋_GBK"/>
          <w:sz w:val="24"/>
          <w:szCs w:val="24"/>
          <w:highlight w:val="yellow"/>
        </w:rPr>
        <w:t>结算 （</w:t>
      </w:r>
      <w:r>
        <w:rPr>
          <w:rFonts w:hint="eastAsia" w:ascii="方正仿宋_GBK" w:hAnsi="方正仿宋_GBK" w:eastAsia="方正仿宋_GBK" w:cs="方正仿宋_GBK"/>
          <w:sz w:val="24"/>
          <w:szCs w:val="24"/>
          <w:highlight w:val="yellow"/>
          <w:lang w:eastAsia="zh-CN"/>
        </w:rPr>
        <w:t>工作量以建设单位审计工作量为准</w:t>
      </w:r>
      <w:r>
        <w:rPr>
          <w:rFonts w:hint="eastAsia" w:ascii="方正仿宋_GBK" w:hAnsi="方正仿宋_GBK" w:eastAsia="方正仿宋_GBK" w:cs="方正仿宋_GBK"/>
          <w:sz w:val="24"/>
          <w:szCs w:val="24"/>
          <w:highlight w:val="yellow"/>
        </w:rPr>
        <w:t xml:space="preserve">）    </w:t>
      </w:r>
    </w:p>
    <w:p>
      <w:pPr>
        <w:tabs>
          <w:tab w:val="left" w:pos="0"/>
          <w:tab w:val="left" w:pos="7350"/>
          <w:tab w:val="left" w:pos="7665"/>
        </w:tabs>
        <w:snapToGrid w:val="0"/>
        <w:spacing w:line="600" w:lineRule="exact"/>
        <w:jc w:val="left"/>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bCs/>
          <w:sz w:val="24"/>
          <w:szCs w:val="24"/>
        </w:rPr>
        <w:t xml:space="preserve">第四条  </w:t>
      </w:r>
      <w:r>
        <w:rPr>
          <w:rFonts w:hint="eastAsia" w:ascii="方正仿宋_GBK" w:hAnsi="方正仿宋_GBK" w:eastAsia="方正仿宋_GBK" w:cs="方正仿宋_GBK"/>
          <w:sz w:val="24"/>
          <w:szCs w:val="24"/>
        </w:rPr>
        <w:t xml:space="preserve">工期                     </w:t>
      </w:r>
    </w:p>
    <w:p>
      <w:pPr>
        <w:spacing w:line="600" w:lineRule="exact"/>
        <w:ind w:firstLine="464"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1、本合同签订后，乙方应根据</w:t>
      </w:r>
      <w:r>
        <w:rPr>
          <w:rFonts w:hint="eastAsia" w:ascii="方正仿宋_GBK" w:hAnsi="方正仿宋_GBK" w:eastAsia="方正仿宋_GBK" w:cs="方正仿宋_GBK"/>
          <w:sz w:val="24"/>
          <w:szCs w:val="24"/>
        </w:rPr>
        <w:t>施工图及</w:t>
      </w:r>
      <w:r>
        <w:rPr>
          <w:rFonts w:hint="eastAsia" w:ascii="方正仿宋_GBK" w:hAnsi="方正仿宋_GBK" w:eastAsia="方正仿宋_GBK" w:cs="方正仿宋_GBK"/>
          <w:sz w:val="24"/>
          <w:szCs w:val="24"/>
          <w:highlight w:val="yellow"/>
        </w:rPr>
        <w:t>施工要求中的</w:t>
      </w:r>
      <w:r>
        <w:rPr>
          <w:rFonts w:hint="eastAsia" w:ascii="方正仿宋_GBK" w:hAnsi="方正仿宋_GBK" w:eastAsia="方正仿宋_GBK" w:cs="方正仿宋_GBK"/>
          <w:spacing w:val="-4"/>
          <w:sz w:val="24"/>
          <w:szCs w:val="24"/>
          <w:highlight w:val="yellow"/>
        </w:rPr>
        <w:t>规格、数量、质量要求，自行生产、运输、安装、调试及维修</w:t>
      </w:r>
      <w:r>
        <w:rPr>
          <w:rFonts w:hint="eastAsia" w:ascii="方正仿宋_GBK" w:hAnsi="方正仿宋_GBK" w:eastAsia="方正仿宋_GBK" w:cs="方正仿宋_GBK"/>
          <w:spacing w:val="-4"/>
          <w:sz w:val="24"/>
          <w:szCs w:val="24"/>
        </w:rPr>
        <w:t>。乙方须在</w:t>
      </w:r>
      <w:r>
        <w:rPr>
          <w:rFonts w:hint="eastAsia" w:ascii="方正仿宋_GBK" w:hAnsi="方正仿宋_GBK" w:eastAsia="方正仿宋_GBK" w:cs="方正仿宋_GBK"/>
          <w:spacing w:val="-4"/>
          <w:sz w:val="24"/>
          <w:szCs w:val="24"/>
          <w:u w:val="single"/>
        </w:rPr>
        <w:t xml:space="preserve">       </w:t>
      </w:r>
      <w:r>
        <w:rPr>
          <w:rFonts w:hint="eastAsia" w:ascii="方正仿宋_GBK" w:hAnsi="方正仿宋_GBK" w:eastAsia="方正仿宋_GBK" w:cs="方正仿宋_GBK"/>
          <w:spacing w:val="-4"/>
          <w:sz w:val="24"/>
          <w:szCs w:val="24"/>
        </w:rPr>
        <w:t>年</w:t>
      </w:r>
      <w:r>
        <w:rPr>
          <w:rFonts w:hint="eastAsia" w:ascii="方正仿宋_GBK" w:hAnsi="方正仿宋_GBK" w:eastAsia="方正仿宋_GBK" w:cs="方正仿宋_GBK"/>
          <w:spacing w:val="-4"/>
          <w:sz w:val="24"/>
          <w:szCs w:val="24"/>
          <w:u w:val="single"/>
        </w:rPr>
        <w:t xml:space="preserve">       </w:t>
      </w:r>
      <w:r>
        <w:rPr>
          <w:rFonts w:hint="eastAsia" w:ascii="方正仿宋_GBK" w:hAnsi="方正仿宋_GBK" w:eastAsia="方正仿宋_GBK" w:cs="方正仿宋_GBK"/>
          <w:spacing w:val="-4"/>
          <w:sz w:val="24"/>
          <w:szCs w:val="24"/>
        </w:rPr>
        <w:t>月</w:t>
      </w:r>
      <w:r>
        <w:rPr>
          <w:rFonts w:hint="eastAsia" w:ascii="方正仿宋_GBK" w:hAnsi="方正仿宋_GBK" w:eastAsia="方正仿宋_GBK" w:cs="方正仿宋_GBK"/>
          <w:spacing w:val="-4"/>
          <w:sz w:val="24"/>
          <w:szCs w:val="24"/>
          <w:u w:val="single"/>
        </w:rPr>
        <w:t xml:space="preserve">      </w:t>
      </w:r>
      <w:r>
        <w:rPr>
          <w:rFonts w:hint="eastAsia" w:ascii="方正仿宋_GBK" w:hAnsi="方正仿宋_GBK" w:eastAsia="方正仿宋_GBK" w:cs="方正仿宋_GBK"/>
          <w:spacing w:val="-4"/>
          <w:sz w:val="24"/>
          <w:szCs w:val="24"/>
        </w:rPr>
        <w:t>日前进场施工，于</w:t>
      </w:r>
      <w:r>
        <w:rPr>
          <w:rFonts w:hint="eastAsia" w:ascii="方正仿宋_GBK" w:hAnsi="方正仿宋_GBK" w:eastAsia="方正仿宋_GBK" w:cs="方正仿宋_GBK"/>
          <w:spacing w:val="-4"/>
          <w:sz w:val="24"/>
          <w:szCs w:val="24"/>
          <w:u w:val="single"/>
        </w:rPr>
        <w:t xml:space="preserve">        </w:t>
      </w:r>
      <w:r>
        <w:rPr>
          <w:rFonts w:hint="eastAsia" w:ascii="方正仿宋_GBK" w:hAnsi="方正仿宋_GBK" w:eastAsia="方正仿宋_GBK" w:cs="方正仿宋_GBK"/>
          <w:spacing w:val="-4"/>
          <w:sz w:val="24"/>
          <w:szCs w:val="24"/>
        </w:rPr>
        <w:t>年</w:t>
      </w:r>
      <w:r>
        <w:rPr>
          <w:rFonts w:hint="eastAsia" w:ascii="方正仿宋_GBK" w:hAnsi="方正仿宋_GBK" w:eastAsia="方正仿宋_GBK" w:cs="方正仿宋_GBK"/>
          <w:spacing w:val="-4"/>
          <w:sz w:val="24"/>
          <w:szCs w:val="24"/>
          <w:u w:val="single"/>
        </w:rPr>
        <w:t xml:space="preserve">       </w:t>
      </w:r>
      <w:r>
        <w:rPr>
          <w:rFonts w:hint="eastAsia" w:ascii="方正仿宋_GBK" w:hAnsi="方正仿宋_GBK" w:eastAsia="方正仿宋_GBK" w:cs="方正仿宋_GBK"/>
          <w:spacing w:val="-4"/>
          <w:sz w:val="24"/>
          <w:szCs w:val="24"/>
        </w:rPr>
        <w:t>月</w:t>
      </w:r>
      <w:r>
        <w:rPr>
          <w:rFonts w:hint="eastAsia" w:ascii="方正仿宋_GBK" w:hAnsi="方正仿宋_GBK" w:eastAsia="方正仿宋_GBK" w:cs="方正仿宋_GBK"/>
          <w:spacing w:val="-4"/>
          <w:sz w:val="24"/>
          <w:szCs w:val="24"/>
          <w:u w:val="single"/>
        </w:rPr>
        <w:t xml:space="preserve">       </w:t>
      </w:r>
      <w:r>
        <w:rPr>
          <w:rFonts w:hint="eastAsia" w:ascii="方正仿宋_GBK" w:hAnsi="方正仿宋_GBK" w:eastAsia="方正仿宋_GBK" w:cs="方正仿宋_GBK"/>
          <w:spacing w:val="-4"/>
          <w:sz w:val="24"/>
          <w:szCs w:val="24"/>
        </w:rPr>
        <w:t>日止完成施工</w:t>
      </w:r>
      <w:r>
        <w:rPr>
          <w:rFonts w:hint="eastAsia" w:ascii="方正仿宋_GBK" w:hAnsi="方正仿宋_GBK" w:eastAsia="方正仿宋_GBK" w:cs="方正仿宋_GBK"/>
          <w:sz w:val="24"/>
          <w:szCs w:val="24"/>
        </w:rPr>
        <w:t>。</w:t>
      </w:r>
    </w:p>
    <w:p>
      <w:pPr>
        <w:autoSpaceDE w:val="0"/>
        <w:autoSpaceDN w:val="0"/>
        <w:adjustRightInd w:val="0"/>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2、如遇下列情况，工期相应顺延，否则视为乙方放弃权利，工期不予顺延：</w:t>
      </w:r>
    </w:p>
    <w:p>
      <w:pPr>
        <w:autoSpaceDE w:val="0"/>
        <w:autoSpaceDN w:val="0"/>
        <w:adjustRightInd w:val="0"/>
        <w:spacing w:line="600" w:lineRule="exact"/>
        <w:ind w:firstLine="480" w:firstLineChars="200"/>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sz w:val="24"/>
          <w:szCs w:val="24"/>
        </w:rPr>
        <w:t>变更设计而影响到工程项目进度的；</w:t>
      </w:r>
    </w:p>
    <w:p>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）不可抗力因素。</w:t>
      </w:r>
    </w:p>
    <w:p>
      <w:pPr>
        <w:tabs>
          <w:tab w:val="left" w:pos="0"/>
        </w:tabs>
        <w:spacing w:line="600" w:lineRule="exact"/>
        <w:jc w:val="left"/>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第五条  </w:t>
      </w:r>
      <w:r>
        <w:rPr>
          <w:rFonts w:hint="eastAsia" w:ascii="方正仿宋_GBK" w:hAnsi="方正仿宋_GBK" w:eastAsia="方正仿宋_GBK" w:cs="方正仿宋_GBK"/>
          <w:sz w:val="24"/>
          <w:szCs w:val="24"/>
        </w:rPr>
        <w:t>质量要求及验收标准</w:t>
      </w:r>
    </w:p>
    <w:p>
      <w:pPr>
        <w:tabs>
          <w:tab w:val="left" w:pos="0"/>
        </w:tabs>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1、验收标准：聚合物注浆加固必须按施工图及</w:t>
      </w:r>
      <w:r>
        <w:rPr>
          <w:rFonts w:hint="eastAsia" w:ascii="方正仿宋_GBK" w:hAnsi="方正仿宋_GBK" w:eastAsia="方正仿宋_GBK" w:cs="方正仿宋_GBK"/>
          <w:bCs/>
          <w:color w:val="000000"/>
          <w:sz w:val="24"/>
          <w:szCs w:val="24"/>
        </w:rPr>
        <w:t>国家现行的规范与标准</w:t>
      </w:r>
      <w:r>
        <w:rPr>
          <w:rFonts w:hint="eastAsia" w:ascii="方正仿宋_GBK" w:hAnsi="方正仿宋_GBK" w:eastAsia="方正仿宋_GBK" w:cs="方正仿宋_GBK"/>
          <w:sz w:val="24"/>
          <w:szCs w:val="24"/>
        </w:rPr>
        <w:t>执行。</w:t>
      </w:r>
    </w:p>
    <w:p>
      <w:pPr>
        <w:tabs>
          <w:tab w:val="left" w:pos="0"/>
        </w:tabs>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该工程中涉及的所有材料品牌、图案、规格、设置必须符合施工图及</w:t>
      </w:r>
      <w:r>
        <w:rPr>
          <w:rFonts w:hint="eastAsia" w:ascii="方正仿宋_GBK" w:hAnsi="方正仿宋_GBK" w:eastAsia="方正仿宋_GBK" w:cs="方正仿宋_GBK"/>
          <w:bCs/>
          <w:color w:val="000000"/>
          <w:sz w:val="24"/>
          <w:szCs w:val="24"/>
        </w:rPr>
        <w:t>国家现行的规范与标准</w:t>
      </w:r>
      <w:r>
        <w:rPr>
          <w:rFonts w:hint="eastAsia" w:ascii="方正仿宋_GBK" w:hAnsi="方正仿宋_GBK" w:eastAsia="方正仿宋_GBK" w:cs="方正仿宋_GBK"/>
          <w:color w:val="000000"/>
          <w:sz w:val="24"/>
          <w:szCs w:val="24"/>
        </w:rPr>
        <w:t>的技术</w:t>
      </w:r>
      <w:r>
        <w:rPr>
          <w:rFonts w:hint="eastAsia" w:ascii="方正仿宋_GBK" w:hAnsi="方正仿宋_GBK" w:eastAsia="方正仿宋_GBK" w:cs="方正仿宋_GBK"/>
          <w:sz w:val="24"/>
          <w:szCs w:val="24"/>
        </w:rPr>
        <w:t>要求，同时必须满足在正常条件下的使用期限要求；使用期限自本工程项目通过甲方、监理、</w:t>
      </w:r>
      <w:r>
        <w:rPr>
          <w:rFonts w:hint="eastAsia" w:ascii="方正仿宋_GBK" w:hAnsi="方正仿宋_GBK" w:eastAsia="方正仿宋_GBK" w:cs="方正仿宋_GBK"/>
          <w:spacing w:val="-4"/>
          <w:sz w:val="24"/>
          <w:szCs w:val="24"/>
        </w:rPr>
        <w:t>建设方及</w:t>
      </w:r>
      <w:r>
        <w:rPr>
          <w:rFonts w:hint="eastAsia" w:ascii="方正仿宋_GBK" w:hAnsi="方正仿宋_GBK" w:eastAsia="方正仿宋_GBK" w:cs="方正仿宋_GBK"/>
          <w:sz w:val="24"/>
          <w:szCs w:val="24"/>
        </w:rPr>
        <w:t>工程所在地</w:t>
      </w:r>
      <w:r>
        <w:rPr>
          <w:rFonts w:hint="eastAsia" w:ascii="方正仿宋_GBK" w:hAnsi="方正仿宋_GBK" w:eastAsia="方正仿宋_GBK" w:cs="方正仿宋_GBK"/>
          <w:color w:val="000000"/>
          <w:spacing w:val="-4"/>
          <w:sz w:val="24"/>
          <w:szCs w:val="24"/>
        </w:rPr>
        <w:t>政府主管</w:t>
      </w:r>
      <w:r>
        <w:rPr>
          <w:rFonts w:hint="eastAsia" w:ascii="方正仿宋_GBK" w:hAnsi="方正仿宋_GBK" w:eastAsia="方正仿宋_GBK" w:cs="方正仿宋_GBK"/>
          <w:sz w:val="24"/>
          <w:szCs w:val="24"/>
        </w:rPr>
        <w:t>部门验收并取得交工验收合格证明之日起计算。</w:t>
      </w:r>
    </w:p>
    <w:p>
      <w:pPr>
        <w:tabs>
          <w:tab w:val="left" w:pos="0"/>
          <w:tab w:val="left" w:pos="540"/>
        </w:tabs>
        <w:spacing w:line="600" w:lineRule="exact"/>
        <w:ind w:firstLine="464"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3、</w:t>
      </w:r>
      <w:r>
        <w:rPr>
          <w:rFonts w:hint="eastAsia" w:ascii="方正仿宋_GBK" w:hAnsi="方正仿宋_GBK" w:eastAsia="方正仿宋_GBK" w:cs="方正仿宋_GBK"/>
          <w:bCs/>
          <w:kern w:val="0"/>
          <w:sz w:val="24"/>
          <w:szCs w:val="24"/>
        </w:rPr>
        <w:t>专业分包</w:t>
      </w:r>
      <w:r>
        <w:rPr>
          <w:rFonts w:hint="eastAsia" w:ascii="方正仿宋_GBK" w:hAnsi="方正仿宋_GBK" w:eastAsia="方正仿宋_GBK" w:cs="方正仿宋_GBK"/>
          <w:bCs/>
          <w:sz w:val="24"/>
          <w:szCs w:val="24"/>
        </w:rPr>
        <w:t>工程</w:t>
      </w:r>
      <w:r>
        <w:rPr>
          <w:rFonts w:hint="eastAsia" w:ascii="方正仿宋_GBK" w:hAnsi="方正仿宋_GBK" w:eastAsia="方正仿宋_GBK" w:cs="方正仿宋_GBK"/>
          <w:sz w:val="24"/>
          <w:szCs w:val="24"/>
        </w:rPr>
        <w:t>完工后，乙方应绘制竣工图和提供有关工程验收资料，竣工图上应注明数量及规格并经甲方严格审定。双方签字后，双方在现场核点工程数量及检查工程质量；交工验收时，经甲乙双方、</w:t>
      </w:r>
      <w:r>
        <w:rPr>
          <w:rFonts w:hint="eastAsia" w:ascii="方正仿宋_GBK" w:hAnsi="方正仿宋_GBK" w:eastAsia="方正仿宋_GBK" w:cs="方正仿宋_GBK"/>
          <w:sz w:val="24"/>
          <w:szCs w:val="24"/>
          <w:highlight w:val="yellow"/>
        </w:rPr>
        <w:t>监理（如有）</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pacing w:val="-4"/>
          <w:sz w:val="24"/>
          <w:szCs w:val="24"/>
        </w:rPr>
        <w:t>建设方</w:t>
      </w:r>
      <w:r>
        <w:rPr>
          <w:rFonts w:hint="eastAsia" w:ascii="方正仿宋_GBK" w:hAnsi="方正仿宋_GBK" w:eastAsia="方正仿宋_GBK" w:cs="方正仿宋_GBK"/>
          <w:sz w:val="24"/>
          <w:szCs w:val="24"/>
        </w:rPr>
        <w:t>办理签字验收手续后，乙方按甲方规定负责办理工程移交工作。</w:t>
      </w:r>
    </w:p>
    <w:p>
      <w:pPr>
        <w:tabs>
          <w:tab w:val="left" w:pos="0"/>
          <w:tab w:val="left" w:pos="180"/>
          <w:tab w:val="left" w:pos="1260"/>
        </w:tabs>
        <w:spacing w:line="600" w:lineRule="exact"/>
        <w:jc w:val="left"/>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第六条  </w:t>
      </w:r>
      <w:r>
        <w:rPr>
          <w:rFonts w:hint="eastAsia" w:ascii="方正仿宋_GBK" w:hAnsi="方正仿宋_GBK" w:eastAsia="方正仿宋_GBK" w:cs="方正仿宋_GBK"/>
          <w:sz w:val="24"/>
          <w:szCs w:val="24"/>
        </w:rPr>
        <w:t>工程价款及付款方式</w:t>
      </w:r>
    </w:p>
    <w:p>
      <w:pPr>
        <w:tabs>
          <w:tab w:val="left" w:pos="0"/>
        </w:tabs>
        <w:spacing w:line="600" w:lineRule="exact"/>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（一）本</w:t>
      </w:r>
      <w:r>
        <w:rPr>
          <w:rFonts w:hint="eastAsia" w:ascii="方正仿宋_GBK" w:hAnsi="方正仿宋_GBK" w:eastAsia="方正仿宋_GBK" w:cs="方正仿宋_GBK"/>
          <w:bCs/>
          <w:kern w:val="0"/>
          <w:sz w:val="24"/>
          <w:szCs w:val="24"/>
        </w:rPr>
        <w:t>专业分包</w:t>
      </w:r>
      <w:r>
        <w:rPr>
          <w:rFonts w:hint="eastAsia" w:ascii="方正仿宋_GBK" w:hAnsi="方正仿宋_GBK" w:eastAsia="方正仿宋_GBK" w:cs="方正仿宋_GBK"/>
          <w:bCs/>
          <w:sz w:val="24"/>
          <w:szCs w:val="24"/>
        </w:rPr>
        <w:t>工程</w:t>
      </w:r>
      <w:r>
        <w:rPr>
          <w:rFonts w:hint="eastAsia" w:ascii="方正仿宋_GBK" w:hAnsi="方正仿宋_GBK" w:eastAsia="方正仿宋_GBK" w:cs="方正仿宋_GBK"/>
          <w:color w:val="000000"/>
          <w:sz w:val="24"/>
          <w:szCs w:val="24"/>
        </w:rPr>
        <w:t>暂定含税合同价</w:t>
      </w:r>
      <w:r>
        <w:rPr>
          <w:rFonts w:hint="eastAsia" w:ascii="方正仿宋_GBK" w:hAnsi="方正仿宋_GBK" w:eastAsia="方正仿宋_GBK" w:cs="方正仿宋_GBK"/>
          <w:sz w:val="24"/>
          <w:szCs w:val="24"/>
        </w:rPr>
        <w:t>约为人民币</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）。最终按实结算。</w:t>
      </w:r>
    </w:p>
    <w:p>
      <w:pPr>
        <w:spacing w:line="600" w:lineRule="exact"/>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1、无预付款，</w:t>
      </w:r>
      <w:r>
        <w:rPr>
          <w:rFonts w:hint="eastAsia" w:ascii="方正仿宋_GBK" w:hAnsi="方正仿宋_GBK" w:eastAsia="方正仿宋_GBK" w:cs="方正仿宋_GBK"/>
          <w:sz w:val="24"/>
          <w:szCs w:val="24"/>
          <w:lang w:eastAsia="zh-CN"/>
        </w:rPr>
        <w:t>施工结束后</w:t>
      </w:r>
      <w:r>
        <w:rPr>
          <w:rFonts w:hint="eastAsia" w:ascii="方正仿宋_GBK" w:hAnsi="方正仿宋_GBK" w:eastAsia="方正仿宋_GBK" w:cs="方正仿宋_GBK"/>
          <w:sz w:val="24"/>
          <w:szCs w:val="24"/>
        </w:rPr>
        <w:t>按专业分包方实际完成的工程量（经总包方审核或修正的工作量视为劳务方实际完成的工作量）50%支付进度款(不超过合同价的50%)</w:t>
      </w:r>
      <w:r>
        <w:rPr>
          <w:rFonts w:hint="eastAsia" w:ascii="方正仿宋_GBK" w:hAnsi="方正仿宋_GBK" w:eastAsia="方正仿宋_GBK" w:cs="方正仿宋_GBK"/>
          <w:sz w:val="24"/>
          <w:szCs w:val="24"/>
          <w:lang w:eastAsia="zh-CN"/>
        </w:rPr>
        <w:t>，竣工验收合格付至实际</w:t>
      </w:r>
      <w:r>
        <w:rPr>
          <w:rFonts w:hint="eastAsia" w:ascii="方正仿宋_GBK" w:hAnsi="方正仿宋_GBK" w:eastAsia="方正仿宋_GBK" w:cs="方正仿宋_GBK"/>
          <w:sz w:val="24"/>
          <w:szCs w:val="24"/>
        </w:rPr>
        <w:t>完成的工程量</w:t>
      </w:r>
      <w:r>
        <w:rPr>
          <w:rFonts w:hint="eastAsia" w:ascii="方正仿宋_GBK" w:hAnsi="方正仿宋_GBK" w:eastAsia="方正仿宋_GBK" w:cs="方正仿宋_GBK"/>
          <w:sz w:val="24"/>
          <w:szCs w:val="24"/>
          <w:lang w:eastAsia="zh-CN"/>
        </w:rPr>
        <w:t>的</w:t>
      </w:r>
      <w:r>
        <w:rPr>
          <w:rFonts w:hint="eastAsia" w:ascii="方正仿宋_GBK" w:hAnsi="方正仿宋_GBK" w:eastAsia="方正仿宋_GBK" w:cs="方正仿宋_GBK"/>
          <w:sz w:val="24"/>
          <w:szCs w:val="24"/>
          <w:lang w:val="en-US" w:eastAsia="zh-CN"/>
        </w:rPr>
        <w:t>80%</w:t>
      </w:r>
      <w:r>
        <w:rPr>
          <w:rFonts w:hint="eastAsia" w:ascii="方正仿宋_GBK" w:hAnsi="方正仿宋_GBK" w:eastAsia="方正仿宋_GBK" w:cs="方正仿宋_GBK"/>
          <w:sz w:val="24"/>
          <w:szCs w:val="24"/>
        </w:rPr>
        <w:t>(不超过合同价的</w:t>
      </w:r>
      <w:r>
        <w:rPr>
          <w:rFonts w:hint="eastAsia" w:ascii="方正仿宋_GBK" w:hAnsi="方正仿宋_GBK" w:eastAsia="方正仿宋_GBK" w:cs="方正仿宋_GBK"/>
          <w:sz w:val="24"/>
          <w:szCs w:val="24"/>
          <w:lang w:val="en-US" w:eastAsia="zh-CN"/>
        </w:rPr>
        <w:t>8</w:t>
      </w:r>
      <w:r>
        <w:rPr>
          <w:rFonts w:hint="eastAsia" w:ascii="方正仿宋_GBK" w:hAnsi="方正仿宋_GBK" w:eastAsia="方正仿宋_GBK" w:cs="方正仿宋_GBK"/>
          <w:sz w:val="24"/>
          <w:szCs w:val="24"/>
        </w:rPr>
        <w:t>0%)</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建设单位结算最终审定后，提供符合总包方审计流程的结算资料，总包方结算审计后，可支付最终审</w:t>
      </w:r>
      <w:r>
        <w:rPr>
          <w:rFonts w:hint="eastAsia" w:ascii="方正仿宋_GBK" w:hAnsi="方正仿宋_GBK" w:eastAsia="方正仿宋_GBK" w:cs="方正仿宋_GBK"/>
          <w:sz w:val="24"/>
          <w:szCs w:val="24"/>
          <w:lang w:eastAsia="zh-CN"/>
        </w:rPr>
        <w:t>定价</w:t>
      </w:r>
      <w:r>
        <w:rPr>
          <w:rFonts w:hint="eastAsia" w:ascii="方正仿宋_GBK" w:hAnsi="方正仿宋_GBK" w:eastAsia="方正仿宋_GBK" w:cs="方正仿宋_GBK"/>
          <w:sz w:val="24"/>
          <w:szCs w:val="24"/>
        </w:rPr>
        <w:t>的97%，余款两年质保期满后一次性无息付清。申请支付进度款及最终结算时，需开具符合税务部门要求的增值税专用发票（税率9%）。</w:t>
      </w:r>
    </w:p>
    <w:p>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2、质量保证金。工程竣工验收合格后，在最终审定价的基础上扣留 </w:t>
      </w:r>
      <w:r>
        <w:rPr>
          <w:rFonts w:hint="eastAsia" w:ascii="方正仿宋_GBK" w:hAnsi="方正仿宋_GBK" w:eastAsia="方正仿宋_GBK" w:cs="方正仿宋_GBK"/>
          <w:sz w:val="24"/>
          <w:szCs w:val="24"/>
          <w:u w:val="single"/>
        </w:rPr>
        <w:t>3</w:t>
      </w:r>
      <w:r>
        <w:rPr>
          <w:rFonts w:hint="eastAsia" w:ascii="方正仿宋_GBK" w:hAnsi="方正仿宋_GBK" w:eastAsia="方正仿宋_GBK" w:cs="方正仿宋_GBK"/>
          <w:sz w:val="24"/>
          <w:szCs w:val="24"/>
          <w:lang w:val="zh-CN"/>
        </w:rPr>
        <w:t>%</w:t>
      </w:r>
      <w:r>
        <w:rPr>
          <w:rFonts w:hint="eastAsia" w:ascii="方正仿宋_GBK" w:hAnsi="方正仿宋_GBK" w:eastAsia="方正仿宋_GBK" w:cs="方正仿宋_GBK"/>
          <w:sz w:val="24"/>
          <w:szCs w:val="24"/>
        </w:rPr>
        <w:t>质量保证金，质保期满后结清余款。</w:t>
      </w:r>
    </w:p>
    <w:p>
      <w:pPr>
        <w:spacing w:line="600" w:lineRule="exact"/>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tabs>
          <w:tab w:val="left" w:pos="0"/>
        </w:tabs>
        <w:spacing w:line="600" w:lineRule="exact"/>
        <w:jc w:val="left"/>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b/>
          <w:sz w:val="24"/>
          <w:szCs w:val="24"/>
        </w:rPr>
        <w:t xml:space="preserve">第七条  </w:t>
      </w:r>
      <w:r>
        <w:rPr>
          <w:rFonts w:hint="eastAsia" w:ascii="方正仿宋_GBK" w:hAnsi="方正仿宋_GBK" w:eastAsia="方正仿宋_GBK" w:cs="方正仿宋_GBK"/>
          <w:sz w:val="24"/>
          <w:szCs w:val="24"/>
        </w:rPr>
        <w:t>缺陷责任及保修期</w:t>
      </w:r>
    </w:p>
    <w:p>
      <w:pPr>
        <w:tabs>
          <w:tab w:val="left" w:pos="0"/>
        </w:tabs>
        <w:spacing w:line="600" w:lineRule="exact"/>
        <w:jc w:val="left"/>
        <w:rPr>
          <w:rFonts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 xml:space="preserve">    1、在缺陷责任期内，乙方应尽快完成在交工验收证书中写明的未完成工作，并完成对本分项工程缺陷的修复或监理人指令的修补工作。</w:t>
      </w:r>
    </w:p>
    <w:p>
      <w:pPr>
        <w:tabs>
          <w:tab w:val="left" w:pos="0"/>
        </w:tabs>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2、保修期：</w:t>
      </w:r>
      <w:r>
        <w:rPr>
          <w:rFonts w:hint="eastAsia" w:ascii="方正仿宋_GBK" w:hAnsi="方正仿宋_GBK" w:eastAsia="方正仿宋_GBK" w:cs="方正仿宋_GBK"/>
          <w:sz w:val="24"/>
          <w:szCs w:val="24"/>
          <w:lang w:val="zh-CN"/>
        </w:rPr>
        <w:t>自交工验收证书签发日期起计算</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lang w:val="zh-CN"/>
        </w:rPr>
        <w:t>年</w:t>
      </w:r>
      <w:r>
        <w:rPr>
          <w:rFonts w:hint="eastAsia" w:ascii="方正仿宋_GBK" w:hAnsi="方正仿宋_GBK" w:eastAsia="方正仿宋_GBK" w:cs="方正仿宋_GBK"/>
          <w:sz w:val="24"/>
          <w:szCs w:val="24"/>
        </w:rPr>
        <w:t>。保修期与缺陷责任期重</w:t>
      </w:r>
    </w:p>
    <w:p>
      <w:pPr>
        <w:tabs>
          <w:tab w:val="left" w:pos="0"/>
        </w:tabs>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叠的期间内，乙方的保修责任同缺陷责任。在缺陷责任期满后的保修期内，承包人可不在工地留有办事人员和机械设备，但必须随时与甲方保持联系，在保修期内乙方应对由于施工质量原因造成的损坏自费进行修复。</w:t>
      </w:r>
    </w:p>
    <w:p>
      <w:pPr>
        <w:tabs>
          <w:tab w:val="left" w:pos="0"/>
        </w:tabs>
        <w:spacing w:line="600" w:lineRule="exact"/>
        <w:ind w:firstLine="4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保修期内，乙方必须及时处理甲方提出的质量问题。凡因乙方施工造成的质量问题，乙方于甲方通知之日起1天内，应无条件予以维修。否则，甲方有权另派施工队伍施工、保养，一切费用在保修金内扣除，超出保修金的部分，甲方有权向乙方追偿。</w:t>
      </w:r>
    </w:p>
    <w:p>
      <w:pPr>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4、若乙方不履行保修义务和责任，则乙方应承担由于违约造成的一切经济及法律责任；因乙方违约导致甲方受到交通及其它主管部门处罚的，甲方有权对乙方进行追偿。</w:t>
      </w:r>
    </w:p>
    <w:p>
      <w:pPr>
        <w:spacing w:line="600" w:lineRule="exact"/>
        <w:jc w:val="left"/>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第八条  </w:t>
      </w:r>
      <w:r>
        <w:rPr>
          <w:rFonts w:hint="eastAsia" w:ascii="方正仿宋_GBK" w:hAnsi="方正仿宋_GBK" w:eastAsia="方正仿宋_GBK" w:cs="方正仿宋_GBK"/>
          <w:sz w:val="24"/>
          <w:szCs w:val="24"/>
        </w:rPr>
        <w:t>双方义务</w:t>
      </w:r>
    </w:p>
    <w:p>
      <w:pPr>
        <w:tabs>
          <w:tab w:val="left" w:pos="0"/>
        </w:tabs>
        <w:spacing w:line="600" w:lineRule="exact"/>
        <w:ind w:firstLine="241" w:firstLineChars="100"/>
        <w:jc w:val="left"/>
        <w:outlineLvl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（一）甲方义务</w:t>
      </w:r>
    </w:p>
    <w:p>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、委派现场代表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负责对工程建设进行全面管理，解决施工过程中出现的需要甲方协调的相关问题，并参与工程的初验、各种验收和签证工作。如变更现场代表应提前通知乙方。</w:t>
      </w:r>
    </w:p>
    <w:p>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2、向乙方提供施工场地。</w:t>
      </w:r>
    </w:p>
    <w:p>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3、提供本分包工程施工图纸。</w:t>
      </w:r>
    </w:p>
    <w:p>
      <w:pPr>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4、及时对工程进度、工程质量进行监督检查，参加材料报验、样品验收、组织工程的初验，参加隐蔽工程验收。</w:t>
      </w:r>
    </w:p>
    <w:p>
      <w:pPr>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5、组织工程的交工验收。</w:t>
      </w:r>
    </w:p>
    <w:p>
      <w:pPr>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6、负责协调乙方与其他各单位的关系，并协助解决材料堆放场地，费用由乙方承担。</w:t>
      </w:r>
    </w:p>
    <w:p>
      <w:pPr>
        <w:spacing w:line="600" w:lineRule="exact"/>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 xml:space="preserve">    7、按相关规定办理施工所需证件、手续，提供有关的资料。</w:t>
      </w:r>
    </w:p>
    <w:p>
      <w:pPr>
        <w:spacing w:line="600" w:lineRule="exact"/>
        <w:ind w:firstLine="241" w:firstLineChars="100"/>
        <w:jc w:val="left"/>
        <w:outlineLvl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（二）乙方义务</w:t>
      </w:r>
    </w:p>
    <w:p>
      <w:pPr>
        <w:snapToGrid w:val="0"/>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1、委派现场代表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负责施工期间的全面管理。该现场代表须持有与工程项目相适应的资格证书，如变更现场代表应事先经甲方书面同意。</w:t>
      </w:r>
    </w:p>
    <w:p>
      <w:pPr>
        <w:snapToGrid w:val="0"/>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2、乙方应根据确认的施工图纸，按照</w:t>
      </w:r>
      <w:r>
        <w:rPr>
          <w:rFonts w:hint="eastAsia" w:ascii="方正仿宋_GBK" w:hAnsi="方正仿宋_GBK" w:eastAsia="方正仿宋_GBK" w:cs="方正仿宋_GBK"/>
          <w:bCs/>
          <w:color w:val="000000"/>
          <w:sz w:val="24"/>
          <w:szCs w:val="24"/>
        </w:rPr>
        <w:t>国家现行的规范与标准及</w:t>
      </w:r>
      <w:r>
        <w:rPr>
          <w:rFonts w:hint="eastAsia" w:ascii="方正仿宋_GBK" w:hAnsi="方正仿宋_GBK" w:eastAsia="方正仿宋_GBK" w:cs="方正仿宋_GBK"/>
          <w:sz w:val="24"/>
          <w:szCs w:val="24"/>
        </w:rPr>
        <w:t>施工要求和本合同约定完成承包范围内的施工工作。</w:t>
      </w:r>
    </w:p>
    <w:p>
      <w:pPr>
        <w:snapToGrid w:val="0"/>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w:t>
      </w:r>
      <w:r>
        <w:rPr>
          <w:rFonts w:hint="eastAsia" w:ascii="方正仿宋_GBK" w:hAnsi="方正仿宋_GBK" w:eastAsia="方正仿宋_GBK" w:cs="方正仿宋_GBK"/>
          <w:bCs/>
          <w:sz w:val="24"/>
          <w:szCs w:val="24"/>
        </w:rPr>
        <w:t>工程</w:t>
      </w:r>
      <w:r>
        <w:rPr>
          <w:rFonts w:hint="eastAsia" w:ascii="方正仿宋_GBK" w:hAnsi="方正仿宋_GBK" w:eastAsia="方正仿宋_GBK" w:cs="方正仿宋_GBK"/>
          <w:sz w:val="24"/>
          <w:szCs w:val="24"/>
        </w:rPr>
        <w:t>开工应提前3个工作日将完整的施工方案、工程主要负责人等名单报甲方确认、备案，如乙方更换工程主要负责人，应事先征得甲方的书面同意。</w:t>
      </w:r>
    </w:p>
    <w:p>
      <w:pPr>
        <w:snapToGrid w:val="0"/>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4、施工过程中如发现设计错误或不合理时，应立即停工并书面通知甲方。否则，扩大损失的自行负责，并承担恢复原状、赔偿甲方由此造成的损失的违约责任。</w:t>
      </w:r>
    </w:p>
    <w:p>
      <w:pPr>
        <w:tabs>
          <w:tab w:val="left" w:pos="2310"/>
        </w:tabs>
        <w:snapToGrid w:val="0"/>
        <w:spacing w:line="600" w:lineRule="exact"/>
        <w:ind w:firstLine="482"/>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5、达到本合同约定的付款条件时，应向甲方出具书面付款申请单，若乙方未及时提供前述资料，甲方可相应顺延付款时间。</w:t>
      </w:r>
    </w:p>
    <w:p>
      <w:pPr>
        <w:snapToGrid w:val="0"/>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严格执行国家主管部门有关安全、文明施工、消防、环保等规定，遵守甲方施工现场管理的有关规定，承担在施工过程中的防火、防盗、防止事故发生等安全责任。若出现安全问题（含对他人或自身员工人身伤害、财产损失），责任由乙方自行承担。现场施工用水、用电及产生的所有费用由乙方自行承担。</w:t>
      </w:r>
    </w:p>
    <w:p>
      <w:pPr>
        <w:snapToGrid w:val="0"/>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7、乙方应处理好与其他在建专业施工队伍的关系，保证施工场地的清洁卫生符合相关环境卫生管理的规定，做到工完场清。</w:t>
      </w:r>
    </w:p>
    <w:p>
      <w:pPr>
        <w:snapToGrid w:val="0"/>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8、工程交工验收前，应负责已完工工程的保护工作，在此期间发生损坏的，由乙方自费予以修复并按合同约定交付甲方，由此造成工期延误，按违约责任中的逾期完工条款处理。</w:t>
      </w:r>
    </w:p>
    <w:p>
      <w:pPr>
        <w:snapToGrid w:val="0"/>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9、乙方如在施工过程中损坏甲方现场的其他工程成品或半成品，乙方应赔偿给甲方，甲方有权在工程款中扣除。</w:t>
      </w:r>
    </w:p>
    <w:p>
      <w:pPr>
        <w:autoSpaceDE w:val="0"/>
        <w:autoSpaceDN w:val="0"/>
        <w:adjustRightInd w:val="0"/>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10、乙方与其员工之间的一切劳动纠纷由其自行负责，由此给甲方造成损失的，乙方应予以赔偿。</w:t>
      </w:r>
    </w:p>
    <w:p>
      <w:pPr>
        <w:autoSpaceDE w:val="0"/>
        <w:autoSpaceDN w:val="0"/>
        <w:adjustRightInd w:val="0"/>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11、图纸外（现场变更、临时工程等）的工程签证，属于隐蔽工程的应于隐蔽前办理签证，非隐蔽工程应于完成后2天内办理签证。</w:t>
      </w:r>
    </w:p>
    <w:p>
      <w:pPr>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12、乙方须按施工图的规定进行各项工作，否则视为乙方的工作不符合合同的要求或未达到合同约定的条件，由此造成的一切后果由乙方自行承担。</w:t>
      </w:r>
    </w:p>
    <w:p>
      <w:pPr>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13、乙方必须与进场工人签订劳动合同，并为其劳务人员办理各种社会保险，支付保险费用。</w:t>
      </w:r>
    </w:p>
    <w:p>
      <w:pPr>
        <w:autoSpaceDE w:val="0"/>
        <w:autoSpaceDN w:val="0"/>
        <w:adjustRightInd w:val="0"/>
        <w:spacing w:line="600" w:lineRule="exact"/>
        <w:jc w:val="left"/>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 xml:space="preserve">第九条  </w:t>
      </w:r>
      <w:r>
        <w:rPr>
          <w:rFonts w:hint="eastAsia" w:ascii="方正仿宋_GBK" w:hAnsi="方正仿宋_GBK" w:eastAsia="方正仿宋_GBK" w:cs="方正仿宋_GBK"/>
          <w:sz w:val="24"/>
          <w:szCs w:val="24"/>
        </w:rPr>
        <w:t>违约责任</w:t>
      </w:r>
    </w:p>
    <w:p>
      <w:pPr>
        <w:autoSpaceDE w:val="0"/>
        <w:autoSpaceDN w:val="0"/>
        <w:adjustRightInd w:val="0"/>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1、甲方必须按本合同约定参加隐蔽工程验收，否则视为默认，乙方可进行下道工序，但如乙方施工质量不符合合同约定的要求，乙方必须承担质量责任。</w:t>
      </w:r>
    </w:p>
    <w:p>
      <w:pPr>
        <w:autoSpaceDE w:val="0"/>
        <w:autoSpaceDN w:val="0"/>
        <w:adjustRightInd w:val="0"/>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2、甲方未能按本合同约定进行交工验收的，由甲方承担工程保管及风险责任。</w:t>
      </w:r>
    </w:p>
    <w:p>
      <w:pPr>
        <w:autoSpaceDE w:val="0"/>
        <w:autoSpaceDN w:val="0"/>
        <w:adjustRightInd w:val="0"/>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3、因乙方原因未能在合同约定工期内通过交工验收或逾期取得工程所在地</w:t>
      </w:r>
      <w:r>
        <w:rPr>
          <w:rFonts w:hint="eastAsia" w:ascii="方正仿宋_GBK" w:hAnsi="方正仿宋_GBK" w:eastAsia="方正仿宋_GBK" w:cs="方正仿宋_GBK"/>
          <w:spacing w:val="-4"/>
          <w:sz w:val="24"/>
          <w:szCs w:val="24"/>
        </w:rPr>
        <w:t>政府主管</w:t>
      </w:r>
      <w:r>
        <w:rPr>
          <w:rFonts w:hint="eastAsia" w:ascii="方正仿宋_GBK" w:hAnsi="方正仿宋_GBK" w:eastAsia="方正仿宋_GBK" w:cs="方正仿宋_GBK"/>
          <w:sz w:val="24"/>
          <w:szCs w:val="24"/>
        </w:rPr>
        <w:t>部门的验收合格证明的，每逾期一日，按</w:t>
      </w:r>
      <w:r>
        <w:rPr>
          <w:rFonts w:hint="eastAsia" w:ascii="方正仿宋_GBK" w:hAnsi="方正仿宋_GBK" w:eastAsia="方正仿宋_GBK" w:cs="方正仿宋_GBK"/>
          <w:bCs/>
          <w:kern w:val="0"/>
          <w:sz w:val="24"/>
          <w:szCs w:val="24"/>
          <w:highlight w:val="yellow"/>
        </w:rPr>
        <w:t xml:space="preserve">   </w:t>
      </w:r>
      <w:r>
        <w:rPr>
          <w:rFonts w:hint="eastAsia" w:ascii="方正仿宋_GBK" w:hAnsi="方正仿宋_GBK" w:eastAsia="方正仿宋_GBK" w:cs="方正仿宋_GBK"/>
          <w:bCs/>
          <w:kern w:val="0"/>
          <w:sz w:val="24"/>
          <w:szCs w:val="24"/>
        </w:rPr>
        <w:t>/日</w:t>
      </w:r>
      <w:r>
        <w:rPr>
          <w:rFonts w:hint="eastAsia" w:ascii="方正仿宋_GBK" w:hAnsi="方正仿宋_GBK" w:eastAsia="方正仿宋_GBK" w:cs="方正仿宋_GBK"/>
          <w:sz w:val="24"/>
          <w:szCs w:val="24"/>
        </w:rPr>
        <w:t>向甲方支付违约金。</w:t>
      </w:r>
    </w:p>
    <w:p>
      <w:pPr>
        <w:autoSpaceDE w:val="0"/>
        <w:autoSpaceDN w:val="0"/>
        <w:adjustRightInd w:val="0"/>
        <w:spacing w:line="600" w:lineRule="exact"/>
        <w:ind w:firstLine="480" w:firstLineChars="200"/>
        <w:jc w:val="left"/>
        <w:rPr>
          <w:rFonts w:ascii="方正仿宋_GBK" w:hAnsi="方正仿宋_GBK" w:eastAsia="方正仿宋_GBK" w:cs="方正仿宋_GBK"/>
          <w:spacing w:val="6"/>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pacing w:val="6"/>
          <w:sz w:val="24"/>
          <w:szCs w:val="24"/>
        </w:rPr>
        <w:t>乙方在施工过程中，除不可抗力或甲方原因外不得以任何理由停工，非上述原因连续停工两个工作日以上的，甲方有权解除合同，乙方</w:t>
      </w:r>
      <w:r>
        <w:rPr>
          <w:rFonts w:hint="eastAsia" w:ascii="方正仿宋_GBK" w:hAnsi="方正仿宋_GBK" w:eastAsia="方正仿宋_GBK" w:cs="方正仿宋_GBK"/>
          <w:sz w:val="24"/>
          <w:szCs w:val="24"/>
        </w:rPr>
        <w:t>按</w:t>
      </w:r>
      <w:r>
        <w:rPr>
          <w:rFonts w:hint="eastAsia" w:ascii="方正仿宋_GBK" w:hAnsi="方正仿宋_GBK" w:eastAsia="方正仿宋_GBK" w:cs="方正仿宋_GBK"/>
          <w:bCs/>
          <w:kern w:val="0"/>
          <w:sz w:val="24"/>
          <w:szCs w:val="24"/>
          <w:highlight w:val="yellow"/>
        </w:rPr>
        <w:t xml:space="preserve">   </w:t>
      </w:r>
      <w:r>
        <w:rPr>
          <w:rFonts w:hint="eastAsia" w:ascii="方正仿宋_GBK" w:hAnsi="方正仿宋_GBK" w:eastAsia="方正仿宋_GBK" w:cs="方正仿宋_GBK"/>
          <w:bCs/>
          <w:kern w:val="0"/>
          <w:sz w:val="24"/>
          <w:szCs w:val="24"/>
        </w:rPr>
        <w:t>元/日</w:t>
      </w:r>
      <w:r>
        <w:rPr>
          <w:rFonts w:hint="eastAsia" w:ascii="方正仿宋_GBK" w:hAnsi="方正仿宋_GBK" w:eastAsia="方正仿宋_GBK" w:cs="方正仿宋_GBK"/>
          <w:sz w:val="24"/>
          <w:szCs w:val="24"/>
        </w:rPr>
        <w:t>向甲方支付违约金</w:t>
      </w:r>
      <w:r>
        <w:rPr>
          <w:rFonts w:hint="eastAsia" w:ascii="方正仿宋_GBK" w:hAnsi="方正仿宋_GBK" w:eastAsia="方正仿宋_GBK" w:cs="方正仿宋_GBK"/>
          <w:spacing w:val="6"/>
          <w:sz w:val="24"/>
          <w:szCs w:val="24"/>
        </w:rPr>
        <w:t>，造成甲方工期延误或</w:t>
      </w:r>
      <w:r>
        <w:rPr>
          <w:rFonts w:hint="eastAsia" w:ascii="方正仿宋_GBK" w:hAnsi="方正仿宋_GBK" w:eastAsia="方正仿宋_GBK" w:cs="方正仿宋_GBK"/>
          <w:sz w:val="24"/>
          <w:szCs w:val="24"/>
        </w:rPr>
        <w:t>造成甲方</w:t>
      </w:r>
      <w:r>
        <w:rPr>
          <w:rFonts w:hint="eastAsia" w:ascii="方正仿宋_GBK" w:hAnsi="方正仿宋_GBK" w:eastAsia="方正仿宋_GBK" w:cs="方正仿宋_GBK"/>
          <w:spacing w:val="6"/>
          <w:sz w:val="24"/>
          <w:szCs w:val="24"/>
        </w:rPr>
        <w:t>其他损失的，乙方应予赔偿。</w:t>
      </w:r>
    </w:p>
    <w:p>
      <w:pPr>
        <w:autoSpaceDE w:val="0"/>
        <w:autoSpaceDN w:val="0"/>
        <w:adjustRightInd w:val="0"/>
        <w:spacing w:line="600" w:lineRule="exact"/>
        <w:ind w:firstLine="504"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5、</w:t>
      </w:r>
      <w:r>
        <w:rPr>
          <w:rFonts w:hint="eastAsia" w:ascii="方正仿宋_GBK" w:hAnsi="方正仿宋_GBK" w:eastAsia="方正仿宋_GBK" w:cs="方正仿宋_GBK"/>
          <w:sz w:val="24"/>
          <w:szCs w:val="24"/>
        </w:rPr>
        <w:t>乙方擅自中途更换工程主要负责人，或乙方现场代表不配合甲方工作或不能胜任工作的，甲方有权要求乙方更换相应人员，乙方应在甲方要求更换之日起五日内更换。否则，甲方有权要求停工或解除合同，由此造成的工期延误的违约责任及甲方的损失由乙方承担。</w:t>
      </w:r>
    </w:p>
    <w:p>
      <w:pPr>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6、乙方施工须遵守甲方对工程管理的规定，造成甲方损失的，乙方应赔偿甲方损失。</w:t>
      </w:r>
    </w:p>
    <w:p>
      <w:pPr>
        <w:tabs>
          <w:tab w:val="left" w:pos="1080"/>
          <w:tab w:val="left" w:pos="1440"/>
        </w:tabs>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7、乙方人员在施工区内出现打架斗殴、损坏工程成品、安全事故等情况时，所产生的对乙方人员或第三人的损害由乙方承担责任并负责赔偿，由此造成的甲方的损失，由乙方负责全部赔偿。</w:t>
      </w:r>
    </w:p>
    <w:p>
      <w:pPr>
        <w:tabs>
          <w:tab w:val="left" w:pos="1080"/>
          <w:tab w:val="left" w:pos="1440"/>
        </w:tabs>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spacing w:line="600" w:lineRule="exact"/>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9、乙方不按时进场开工，在甲方书面通知送达后的</w:t>
      </w:r>
      <w:r>
        <w:rPr>
          <w:rFonts w:hint="eastAsia" w:ascii="方正仿宋_GBK" w:hAnsi="方正仿宋_GBK" w:eastAsia="方正仿宋_GBK" w:cs="方正仿宋_GBK"/>
          <w:sz w:val="24"/>
          <w:szCs w:val="24"/>
          <w:u w:val="single"/>
        </w:rPr>
        <w:t xml:space="preserve"> 3 </w:t>
      </w:r>
      <w:r>
        <w:rPr>
          <w:rFonts w:hint="eastAsia" w:ascii="方正仿宋_GBK" w:hAnsi="方正仿宋_GBK" w:eastAsia="方正仿宋_GBK" w:cs="方正仿宋_GBK"/>
          <w:sz w:val="24"/>
          <w:szCs w:val="24"/>
        </w:rPr>
        <w:t>日内仍不进场施工的，甲方有权解除合同，乙方应向甲方支付</w:t>
      </w:r>
      <w:r>
        <w:rPr>
          <w:rFonts w:hint="eastAsia" w:ascii="方正仿宋_GBK" w:hAnsi="方正仿宋_GBK" w:eastAsia="方正仿宋_GBK" w:cs="方正仿宋_GBK"/>
          <w:bCs/>
          <w:kern w:val="0"/>
          <w:sz w:val="24"/>
          <w:szCs w:val="24"/>
        </w:rPr>
        <w:t>交安设施专业分包</w:t>
      </w:r>
      <w:r>
        <w:rPr>
          <w:rFonts w:hint="eastAsia" w:ascii="方正仿宋_GBK" w:hAnsi="方正仿宋_GBK" w:eastAsia="方正仿宋_GBK" w:cs="方正仿宋_GBK"/>
          <w:bCs/>
          <w:sz w:val="24"/>
          <w:szCs w:val="24"/>
        </w:rPr>
        <w:t>工程</w:t>
      </w:r>
      <w:r>
        <w:rPr>
          <w:rFonts w:hint="eastAsia" w:ascii="方正仿宋_GBK" w:hAnsi="方正仿宋_GBK" w:eastAsia="方正仿宋_GBK" w:cs="方正仿宋_GBK"/>
          <w:sz w:val="24"/>
          <w:szCs w:val="24"/>
        </w:rPr>
        <w:t>合同价款的20％作为违约金，造成甲方工期延误或或造成甲方其它损失的，乙方应予赔偿。</w:t>
      </w:r>
    </w:p>
    <w:p>
      <w:pPr>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10、乙方擅自把工程分包或转包给其他任何单位，甲方有权解除合同，乙方应按</w:t>
      </w:r>
      <w:r>
        <w:rPr>
          <w:rFonts w:hint="eastAsia" w:ascii="方正仿宋_GBK" w:hAnsi="方正仿宋_GBK" w:eastAsia="方正仿宋_GBK" w:cs="方正仿宋_GBK"/>
          <w:bCs/>
          <w:kern w:val="0"/>
          <w:sz w:val="24"/>
          <w:szCs w:val="24"/>
        </w:rPr>
        <w:t>交安设施专业分包</w:t>
      </w:r>
      <w:r>
        <w:rPr>
          <w:rFonts w:hint="eastAsia" w:ascii="方正仿宋_GBK" w:hAnsi="方正仿宋_GBK" w:eastAsia="方正仿宋_GBK" w:cs="方正仿宋_GBK"/>
          <w:bCs/>
          <w:sz w:val="24"/>
          <w:szCs w:val="24"/>
        </w:rPr>
        <w:t>工程</w:t>
      </w:r>
      <w:r>
        <w:rPr>
          <w:rFonts w:hint="eastAsia" w:ascii="方正仿宋_GBK" w:hAnsi="方正仿宋_GBK" w:eastAsia="方正仿宋_GBK" w:cs="方正仿宋_GBK"/>
          <w:sz w:val="24"/>
          <w:szCs w:val="24"/>
        </w:rPr>
        <w:t>合同价款的20％向甲方支付违约金，并赔偿甲方因此造成的一切损失。</w:t>
      </w:r>
    </w:p>
    <w:p>
      <w:pPr>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11、乙方与甲方工作人员串通、虚构事实或使用其他方式虚报签证工程量的，乙方应当返还因虚报所获得的工程款，并按虚报工程款的数额向甲方支付违约金。</w:t>
      </w:r>
    </w:p>
    <w:p>
      <w:pPr>
        <w:spacing w:line="600" w:lineRule="exact"/>
        <w:ind w:firstLine="528" w:firstLineChars="22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12、乙方应向甲方支付的违约金，甲方有权在应付未付款中扣除，违约金不足以弥补甲方损失的，甲方可继续向乙方追偿。</w:t>
      </w:r>
    </w:p>
    <w:p>
      <w:pPr>
        <w:spacing w:line="600" w:lineRule="exact"/>
        <w:jc w:val="left"/>
        <w:outlineLvl w:val="0"/>
        <w:rPr>
          <w:rFonts w:ascii="方正仿宋_GBK" w:hAnsi="方正仿宋_GBK" w:eastAsia="方正仿宋_GBK" w:cs="方正仿宋_GBK"/>
          <w:b/>
          <w:spacing w:val="8"/>
          <w:sz w:val="24"/>
          <w:szCs w:val="24"/>
        </w:rPr>
      </w:pPr>
      <w:r>
        <w:rPr>
          <w:rFonts w:hint="eastAsia" w:ascii="方正仿宋_GBK" w:hAnsi="方正仿宋_GBK" w:eastAsia="方正仿宋_GBK" w:cs="方正仿宋_GBK"/>
          <w:b/>
          <w:spacing w:val="8"/>
          <w:sz w:val="24"/>
          <w:szCs w:val="24"/>
        </w:rPr>
        <w:t xml:space="preserve">第十条  </w:t>
      </w:r>
      <w:r>
        <w:rPr>
          <w:rFonts w:hint="eastAsia" w:ascii="方正仿宋_GBK" w:hAnsi="方正仿宋_GBK" w:eastAsia="方正仿宋_GBK" w:cs="方正仿宋_GBK"/>
          <w:sz w:val="24"/>
          <w:szCs w:val="24"/>
        </w:rPr>
        <w:t>不可抗力条款</w:t>
      </w:r>
    </w:p>
    <w:p>
      <w:pPr>
        <w:spacing w:line="600" w:lineRule="exact"/>
        <w:ind w:firstLine="512"/>
        <w:jc w:val="left"/>
        <w:rPr>
          <w:rFonts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由于不能预见、不能避免和不能克服的自然原因或社会原因或政府政策的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spacing w:line="600" w:lineRule="exact"/>
        <w:ind w:firstLine="512"/>
        <w:jc w:val="left"/>
        <w:rPr>
          <w:rFonts w:ascii="方正仿宋_GBK" w:hAnsi="方正仿宋_GBK" w:eastAsia="方正仿宋_GBK" w:cs="方正仿宋_GBK"/>
          <w:spacing w:val="8"/>
          <w:sz w:val="24"/>
          <w:szCs w:val="24"/>
        </w:rPr>
      </w:pPr>
      <w:r>
        <w:rPr>
          <w:rFonts w:hint="eastAsia" w:ascii="方正仿宋_GBK" w:hAnsi="方正仿宋_GBK" w:eastAsia="方正仿宋_GBK" w:cs="方正仿宋_GBK"/>
          <w:sz w:val="24"/>
          <w:szCs w:val="24"/>
        </w:rPr>
        <w:t>遭受不可抗力的一方未履行上述义务的，不能免除其违约责任。</w:t>
      </w:r>
      <w:r>
        <w:rPr>
          <w:rFonts w:ascii="方正仿宋_GBK" w:hAnsi="方正仿宋_GBK" w:eastAsia="方正仿宋_GBK" w:cs="方正仿宋_GBK"/>
          <w:spacing w:val="8"/>
          <w:sz w:val="24"/>
          <w:szCs w:val="24"/>
        </w:rPr>
        <w:t xml:space="preserve">  </w:t>
      </w:r>
    </w:p>
    <w:p>
      <w:pPr>
        <w:spacing w:line="600" w:lineRule="exact"/>
        <w:jc w:val="left"/>
        <w:outlineLvl w:val="0"/>
        <w:rPr>
          <w:rFonts w:ascii="方正仿宋_GBK" w:hAnsi="方正仿宋_GBK" w:eastAsia="方正仿宋_GBK" w:cs="方正仿宋_GBK"/>
          <w:b/>
          <w:spacing w:val="8"/>
          <w:sz w:val="24"/>
          <w:szCs w:val="24"/>
        </w:rPr>
      </w:pPr>
      <w:r>
        <w:rPr>
          <w:rFonts w:hint="eastAsia" w:ascii="方正仿宋_GBK" w:hAnsi="方正仿宋_GBK" w:eastAsia="方正仿宋_GBK" w:cs="方正仿宋_GBK"/>
          <w:b/>
          <w:spacing w:val="8"/>
          <w:sz w:val="24"/>
          <w:szCs w:val="24"/>
        </w:rPr>
        <w:t xml:space="preserve">第十一条  </w:t>
      </w:r>
      <w:r>
        <w:rPr>
          <w:rFonts w:hint="eastAsia" w:ascii="方正仿宋_GBK" w:hAnsi="方正仿宋_GBK" w:eastAsia="方正仿宋_GBK" w:cs="方正仿宋_GBK"/>
          <w:sz w:val="24"/>
          <w:szCs w:val="24"/>
        </w:rPr>
        <w:t>适用法律条款</w:t>
      </w:r>
    </w:p>
    <w:p>
      <w:pPr>
        <w:spacing w:line="600" w:lineRule="exact"/>
        <w:ind w:firstLine="512" w:firstLineChars="200"/>
        <w:jc w:val="left"/>
        <w:rPr>
          <w:rFonts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本合同的订立、效力、解释、履行和争议的解决均适用中华人民共和国法律法规。</w:t>
      </w:r>
    </w:p>
    <w:p>
      <w:pPr>
        <w:spacing w:line="600" w:lineRule="exact"/>
        <w:jc w:val="left"/>
        <w:outlineLvl w:val="0"/>
        <w:rPr>
          <w:rFonts w:ascii="方正仿宋_GBK" w:hAnsi="方正仿宋_GBK" w:eastAsia="方正仿宋_GBK" w:cs="方正仿宋_GBK"/>
          <w:b/>
          <w:spacing w:val="8"/>
          <w:sz w:val="24"/>
          <w:szCs w:val="24"/>
        </w:rPr>
      </w:pPr>
      <w:r>
        <w:rPr>
          <w:rFonts w:hint="eastAsia" w:ascii="方正仿宋_GBK" w:hAnsi="方正仿宋_GBK" w:eastAsia="方正仿宋_GBK" w:cs="方正仿宋_GBK"/>
          <w:b/>
          <w:spacing w:val="8"/>
          <w:sz w:val="24"/>
          <w:szCs w:val="24"/>
        </w:rPr>
        <w:t xml:space="preserve">第十二条  </w:t>
      </w:r>
      <w:r>
        <w:rPr>
          <w:rFonts w:hint="eastAsia" w:ascii="方正仿宋_GBK" w:hAnsi="方正仿宋_GBK" w:eastAsia="方正仿宋_GBK" w:cs="方正仿宋_GBK"/>
          <w:sz w:val="24"/>
          <w:szCs w:val="24"/>
        </w:rPr>
        <w:t>争议的解决</w:t>
      </w:r>
    </w:p>
    <w:p>
      <w:pPr>
        <w:spacing w:line="600" w:lineRule="exact"/>
        <w:ind w:firstLine="525"/>
        <w:jc w:val="left"/>
        <w:rPr>
          <w:rFonts w:ascii="方正仿宋_GBK" w:hAnsi="方正仿宋_GBK" w:eastAsia="方正仿宋_GBK" w:cs="方正仿宋_GBK"/>
          <w:b/>
          <w:sz w:val="24"/>
          <w:szCs w:val="24"/>
        </w:rPr>
      </w:pPr>
      <w:r>
        <w:rPr>
          <w:rFonts w:hint="eastAsia" w:ascii="方正仿宋_GBK" w:hAnsi="方正仿宋_GBK" w:eastAsia="方正仿宋_GBK" w:cs="方正仿宋_GBK"/>
          <w:spacing w:val="8"/>
          <w:sz w:val="24"/>
          <w:szCs w:val="24"/>
        </w:rPr>
        <w:t>凡因执行本合同所发生的或与本合同有关的一切争议，双方应通过友好协商解决；如果协商不能解决，任何一方均可向</w:t>
      </w:r>
      <w:r>
        <w:rPr>
          <w:rFonts w:hint="eastAsia" w:ascii="方正仿宋_GBK" w:hAnsi="方正仿宋_GBK" w:eastAsia="方正仿宋_GBK" w:cs="方正仿宋_GBK"/>
          <w:sz w:val="24"/>
          <w:szCs w:val="24"/>
        </w:rPr>
        <w:t>工程所在地</w:t>
      </w:r>
      <w:r>
        <w:rPr>
          <w:rFonts w:hint="eastAsia" w:ascii="方正仿宋_GBK" w:hAnsi="方正仿宋_GBK" w:eastAsia="方正仿宋_GBK" w:cs="方正仿宋_GBK"/>
          <w:spacing w:val="8"/>
          <w:sz w:val="24"/>
          <w:szCs w:val="24"/>
        </w:rPr>
        <w:t>的人民法院起诉。</w:t>
      </w:r>
      <w:r>
        <w:rPr>
          <w:rFonts w:ascii="方正仿宋_GBK" w:hAnsi="方正仿宋_GBK" w:eastAsia="方正仿宋_GBK" w:cs="方正仿宋_GBK"/>
          <w:spacing w:val="8"/>
          <w:sz w:val="24"/>
          <w:szCs w:val="24"/>
        </w:rPr>
        <w:t xml:space="preserve"> </w:t>
      </w:r>
    </w:p>
    <w:p>
      <w:pPr>
        <w:spacing w:line="600" w:lineRule="exact"/>
        <w:jc w:val="left"/>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b/>
          <w:spacing w:val="8"/>
          <w:sz w:val="24"/>
          <w:szCs w:val="24"/>
        </w:rPr>
        <w:t>第十三条</w:t>
      </w:r>
      <w:r>
        <w:rPr>
          <w:rFonts w:hint="eastAsia" w:ascii="方正仿宋_GBK" w:hAnsi="方正仿宋_GBK" w:eastAsia="方正仿宋_GBK" w:cs="方正仿宋_GBK"/>
          <w:b/>
          <w:sz w:val="24"/>
          <w:szCs w:val="24"/>
        </w:rPr>
        <w:t xml:space="preserve">  </w:t>
      </w:r>
      <w:r>
        <w:rPr>
          <w:rFonts w:hint="eastAsia" w:ascii="方正仿宋_GBK" w:hAnsi="方正仿宋_GBK" w:eastAsia="方正仿宋_GBK" w:cs="方正仿宋_GBK"/>
          <w:sz w:val="24"/>
          <w:szCs w:val="24"/>
        </w:rPr>
        <w:t xml:space="preserve">其它                     </w:t>
      </w:r>
    </w:p>
    <w:p>
      <w:pPr>
        <w:tabs>
          <w:tab w:val="left" w:pos="0"/>
          <w:tab w:val="left" w:pos="360"/>
          <w:tab w:val="left" w:pos="990"/>
          <w:tab w:val="left" w:pos="1080"/>
        </w:tabs>
        <w:snapToGrid w:val="0"/>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1、本合同自双方签字、盖章之日起生效。</w:t>
      </w:r>
    </w:p>
    <w:p>
      <w:pPr>
        <w:tabs>
          <w:tab w:val="left" w:pos="0"/>
          <w:tab w:val="left" w:pos="360"/>
          <w:tab w:val="left" w:pos="990"/>
          <w:tab w:val="left" w:pos="1080"/>
        </w:tabs>
        <w:snapToGrid w:val="0"/>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2、本合同未尽事宜，由甲乙双方友好协商，另签订补充协议。补充协议与本合同具同等法律效力。</w:t>
      </w:r>
    </w:p>
    <w:p>
      <w:pPr>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3、本合同附件是本合同的组成部分，与本合同具有同等法律效力。</w:t>
      </w:r>
    </w:p>
    <w:p>
      <w:pPr>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4、本合同一式</w:t>
      </w:r>
      <w:r>
        <w:rPr>
          <w:rFonts w:hint="eastAsia" w:ascii="方正仿宋_GBK" w:hAnsi="方正仿宋_GBK" w:eastAsia="方正仿宋_GBK" w:cs="方正仿宋_GBK"/>
          <w:sz w:val="24"/>
          <w:szCs w:val="24"/>
          <w:u w:val="single"/>
        </w:rPr>
        <w:t xml:space="preserve">   四  </w:t>
      </w:r>
      <w:r>
        <w:rPr>
          <w:rFonts w:hint="eastAsia" w:ascii="方正仿宋_GBK" w:hAnsi="方正仿宋_GBK" w:eastAsia="方正仿宋_GBK" w:cs="方正仿宋_GBK"/>
          <w:sz w:val="24"/>
          <w:szCs w:val="24"/>
        </w:rPr>
        <w:t>份，甲、乙双方各执</w:t>
      </w:r>
      <w:r>
        <w:rPr>
          <w:rFonts w:hint="eastAsia" w:ascii="方正仿宋_GBK" w:hAnsi="方正仿宋_GBK" w:eastAsia="方正仿宋_GBK" w:cs="方正仿宋_GBK"/>
          <w:sz w:val="24"/>
          <w:szCs w:val="24"/>
          <w:u w:val="single"/>
        </w:rPr>
        <w:t xml:space="preserve">  二  </w:t>
      </w:r>
      <w:r>
        <w:rPr>
          <w:rFonts w:hint="eastAsia" w:ascii="方正仿宋_GBK" w:hAnsi="方正仿宋_GBK" w:eastAsia="方正仿宋_GBK" w:cs="方正仿宋_GBK"/>
          <w:sz w:val="24"/>
          <w:szCs w:val="24"/>
        </w:rPr>
        <w:t>份，每份均具同等法律效力。</w:t>
      </w:r>
    </w:p>
    <w:p>
      <w:pPr>
        <w:spacing w:line="600" w:lineRule="exact"/>
        <w:jc w:val="left"/>
        <w:rPr>
          <w:rFonts w:ascii="方正仿宋_GBK" w:hAnsi="方正仿宋_GBK" w:eastAsia="方正仿宋_GBK" w:cs="方正仿宋_GBK"/>
          <w:sz w:val="24"/>
          <w:szCs w:val="24"/>
        </w:rPr>
      </w:pPr>
    </w:p>
    <w:p>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乙方：</w:t>
      </w:r>
      <w:r>
        <w:rPr>
          <w:rFonts w:hint="eastAsia" w:ascii="方正仿宋_GBK" w:hAnsi="方正仿宋_GBK" w:eastAsia="方正仿宋_GBK" w:cs="方正仿宋_GBK"/>
          <w:sz w:val="24"/>
          <w:szCs w:val="24"/>
          <w:u w:val="single"/>
        </w:rPr>
        <w:t xml:space="preserve">                              </w:t>
      </w:r>
    </w:p>
    <w:p>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（或授权签约人）：                    （或授权签约人）：</w:t>
      </w:r>
    </w:p>
    <w:p>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指定送达地址：                        指定送达地址：            </w:t>
      </w:r>
    </w:p>
    <w:p>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pPr>
        <w:spacing w:line="360" w:lineRule="auto"/>
        <w:ind w:firstLine="482" w:firstLineChars="200"/>
        <w:jc w:val="left"/>
        <w:rPr>
          <w:b/>
          <w:sz w:val="24"/>
          <w:szCs w:val="24"/>
        </w:rPr>
      </w:pPr>
    </w:p>
    <w:p>
      <w:pPr>
        <w:snapToGrid w:val="0"/>
        <w:jc w:val="center"/>
        <w:rPr>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TimesNewRomanPSMT">
    <w:altName w:val="宋体"/>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93707"/>
    <w:multiLevelType w:val="singleLevel"/>
    <w:tmpl w:val="B1193707"/>
    <w:lvl w:ilvl="0" w:tentative="0">
      <w:start w:val="1"/>
      <w:numFmt w:val="chineseCounting"/>
      <w:suff w:val="nothing"/>
      <w:lvlText w:val="%1、"/>
      <w:lvlJc w:val="left"/>
      <w:pPr>
        <w:ind w:left="0" w:firstLine="420"/>
      </w:pPr>
      <w:rPr>
        <w:rFonts w:hint="eastAsia"/>
      </w:rPr>
    </w:lvl>
  </w:abstractNum>
  <w:abstractNum w:abstractNumId="1">
    <w:nsid w:val="08A1DC3E"/>
    <w:multiLevelType w:val="singleLevel"/>
    <w:tmpl w:val="08A1DC3E"/>
    <w:lvl w:ilvl="0" w:tentative="0">
      <w:start w:val="1"/>
      <w:numFmt w:val="decimal"/>
      <w:suff w:val="nothing"/>
      <w:lvlText w:val="（%1）"/>
      <w:lvlJc w:val="left"/>
    </w:lvl>
  </w:abstractNum>
  <w:abstractNum w:abstractNumId="2">
    <w:nsid w:val="3F5D015F"/>
    <w:multiLevelType w:val="multilevel"/>
    <w:tmpl w:val="3F5D015F"/>
    <w:lvl w:ilvl="0" w:tentative="0">
      <w:start w:val="1"/>
      <w:numFmt w:val="decimal"/>
      <w:lvlText w:val="%1."/>
      <w:lvlJc w:val="left"/>
      <w:pPr>
        <w:ind w:left="822"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94D2225"/>
    <w:multiLevelType w:val="multilevel"/>
    <w:tmpl w:val="594D2225"/>
    <w:lvl w:ilvl="0" w:tentative="0">
      <w:start w:val="6"/>
      <w:numFmt w:val="japaneseCounting"/>
      <w:lvlText w:val="第%1章"/>
      <w:lvlJc w:val="left"/>
      <w:pPr>
        <w:tabs>
          <w:tab w:val="left" w:pos="2169"/>
        </w:tabs>
        <w:ind w:left="2169" w:hanging="1110"/>
      </w:pPr>
      <w:rPr>
        <w:rFonts w:hint="default"/>
      </w:rPr>
    </w:lvl>
    <w:lvl w:ilvl="1" w:tentative="0">
      <w:start w:val="1"/>
      <w:numFmt w:val="decimal"/>
      <w:lvlText w:val="（%2）"/>
      <w:lvlJc w:val="left"/>
      <w:pPr>
        <w:tabs>
          <w:tab w:val="left" w:pos="2199"/>
        </w:tabs>
        <w:ind w:left="2199" w:hanging="720"/>
      </w:pPr>
      <w:rPr>
        <w:rFonts w:hint="eastAsia"/>
      </w:rPr>
    </w:lvl>
    <w:lvl w:ilvl="2" w:tentative="0">
      <w:start w:val="1"/>
      <w:numFmt w:val="decimal"/>
      <w:lvlText w:val="%3."/>
      <w:lvlJc w:val="left"/>
      <w:pPr>
        <w:tabs>
          <w:tab w:val="left" w:pos="2259"/>
        </w:tabs>
        <w:ind w:left="2259" w:hanging="360"/>
      </w:pPr>
      <w:rPr>
        <w:rFonts w:hint="eastAsia"/>
      </w:rPr>
    </w:lvl>
    <w:lvl w:ilvl="3" w:tentative="0">
      <w:start w:val="1"/>
      <w:numFmt w:val="decimal"/>
      <w:lvlText w:val="%4."/>
      <w:lvlJc w:val="left"/>
      <w:pPr>
        <w:tabs>
          <w:tab w:val="left" w:pos="2739"/>
        </w:tabs>
        <w:ind w:left="2739" w:hanging="420"/>
      </w:pPr>
    </w:lvl>
    <w:lvl w:ilvl="4" w:tentative="0">
      <w:start w:val="1"/>
      <w:numFmt w:val="lowerLetter"/>
      <w:lvlText w:val="%5)"/>
      <w:lvlJc w:val="left"/>
      <w:pPr>
        <w:tabs>
          <w:tab w:val="left" w:pos="3159"/>
        </w:tabs>
        <w:ind w:left="3159" w:hanging="420"/>
      </w:pPr>
    </w:lvl>
    <w:lvl w:ilvl="5" w:tentative="0">
      <w:start w:val="1"/>
      <w:numFmt w:val="lowerRoman"/>
      <w:lvlText w:val="%6."/>
      <w:lvlJc w:val="right"/>
      <w:pPr>
        <w:tabs>
          <w:tab w:val="left" w:pos="3579"/>
        </w:tabs>
        <w:ind w:left="3579" w:hanging="420"/>
      </w:pPr>
    </w:lvl>
    <w:lvl w:ilvl="6" w:tentative="0">
      <w:start w:val="1"/>
      <w:numFmt w:val="decimal"/>
      <w:lvlText w:val="%7."/>
      <w:lvlJc w:val="left"/>
      <w:pPr>
        <w:tabs>
          <w:tab w:val="left" w:pos="3999"/>
        </w:tabs>
        <w:ind w:left="3999" w:hanging="420"/>
      </w:pPr>
    </w:lvl>
    <w:lvl w:ilvl="7" w:tentative="0">
      <w:start w:val="1"/>
      <w:numFmt w:val="lowerLetter"/>
      <w:lvlText w:val="%8)"/>
      <w:lvlJc w:val="left"/>
      <w:pPr>
        <w:tabs>
          <w:tab w:val="left" w:pos="4419"/>
        </w:tabs>
        <w:ind w:left="4419" w:hanging="420"/>
      </w:pPr>
    </w:lvl>
    <w:lvl w:ilvl="8" w:tentative="0">
      <w:start w:val="1"/>
      <w:numFmt w:val="lowerRoman"/>
      <w:lvlText w:val="%9."/>
      <w:lvlJc w:val="right"/>
      <w:pPr>
        <w:tabs>
          <w:tab w:val="left" w:pos="4839"/>
        </w:tabs>
        <w:ind w:left="4839"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OTc0NWRhMzdkNjg4YzdjMzY0ZmY0YzMzNzM1OGUifQ=="/>
    <w:docVar w:name="KSO_WPS_MARK_KEY" w:val="b7bdc0d1-5baf-45d6-a18a-1647cf20e164"/>
  </w:docVars>
  <w:rsids>
    <w:rsidRoot w:val="00910E36"/>
    <w:rsid w:val="000108F6"/>
    <w:rsid w:val="00022355"/>
    <w:rsid w:val="0003774D"/>
    <w:rsid w:val="00043D8A"/>
    <w:rsid w:val="000563AF"/>
    <w:rsid w:val="00065D7F"/>
    <w:rsid w:val="00083203"/>
    <w:rsid w:val="000840FA"/>
    <w:rsid w:val="00096759"/>
    <w:rsid w:val="000C6F48"/>
    <w:rsid w:val="000D17CC"/>
    <w:rsid w:val="000D46D2"/>
    <w:rsid w:val="000D787F"/>
    <w:rsid w:val="000E43BB"/>
    <w:rsid w:val="00103A02"/>
    <w:rsid w:val="0010412E"/>
    <w:rsid w:val="001067FB"/>
    <w:rsid w:val="001247F8"/>
    <w:rsid w:val="00135C4B"/>
    <w:rsid w:val="00147E7E"/>
    <w:rsid w:val="001758B8"/>
    <w:rsid w:val="00191097"/>
    <w:rsid w:val="00196470"/>
    <w:rsid w:val="001A5BDF"/>
    <w:rsid w:val="001B1D9F"/>
    <w:rsid w:val="001E4D64"/>
    <w:rsid w:val="001E589C"/>
    <w:rsid w:val="0021794B"/>
    <w:rsid w:val="00224F5F"/>
    <w:rsid w:val="00226DC8"/>
    <w:rsid w:val="00253526"/>
    <w:rsid w:val="0025627A"/>
    <w:rsid w:val="00260E95"/>
    <w:rsid w:val="0026209B"/>
    <w:rsid w:val="002628DD"/>
    <w:rsid w:val="0026583A"/>
    <w:rsid w:val="00273C8F"/>
    <w:rsid w:val="002823C9"/>
    <w:rsid w:val="00282B51"/>
    <w:rsid w:val="00287868"/>
    <w:rsid w:val="00287B9A"/>
    <w:rsid w:val="002A1A9D"/>
    <w:rsid w:val="002B3579"/>
    <w:rsid w:val="002C408A"/>
    <w:rsid w:val="002C6894"/>
    <w:rsid w:val="002D037C"/>
    <w:rsid w:val="002D2F0F"/>
    <w:rsid w:val="002D7778"/>
    <w:rsid w:val="002F51B9"/>
    <w:rsid w:val="002F61B1"/>
    <w:rsid w:val="003059B4"/>
    <w:rsid w:val="00306827"/>
    <w:rsid w:val="00321C08"/>
    <w:rsid w:val="00327EDC"/>
    <w:rsid w:val="00333073"/>
    <w:rsid w:val="003435C3"/>
    <w:rsid w:val="00361BD4"/>
    <w:rsid w:val="00361E28"/>
    <w:rsid w:val="00366A7A"/>
    <w:rsid w:val="00372D75"/>
    <w:rsid w:val="003748BD"/>
    <w:rsid w:val="003830B4"/>
    <w:rsid w:val="00394AC8"/>
    <w:rsid w:val="00397EF8"/>
    <w:rsid w:val="003A3549"/>
    <w:rsid w:val="003A3910"/>
    <w:rsid w:val="003C0407"/>
    <w:rsid w:val="003C1B80"/>
    <w:rsid w:val="003C6DCE"/>
    <w:rsid w:val="003D6623"/>
    <w:rsid w:val="003F17BA"/>
    <w:rsid w:val="003F1ADA"/>
    <w:rsid w:val="0040468E"/>
    <w:rsid w:val="00410690"/>
    <w:rsid w:val="004107CB"/>
    <w:rsid w:val="00421AE6"/>
    <w:rsid w:val="004239B1"/>
    <w:rsid w:val="0042523B"/>
    <w:rsid w:val="00426DD9"/>
    <w:rsid w:val="00435BC6"/>
    <w:rsid w:val="00436B92"/>
    <w:rsid w:val="004443F4"/>
    <w:rsid w:val="00446026"/>
    <w:rsid w:val="00456838"/>
    <w:rsid w:val="00462ED0"/>
    <w:rsid w:val="00466C09"/>
    <w:rsid w:val="00467C93"/>
    <w:rsid w:val="00480CF9"/>
    <w:rsid w:val="004857F8"/>
    <w:rsid w:val="00487A10"/>
    <w:rsid w:val="004B0AC2"/>
    <w:rsid w:val="004B28B0"/>
    <w:rsid w:val="004B519D"/>
    <w:rsid w:val="004B56F6"/>
    <w:rsid w:val="004C4AC4"/>
    <w:rsid w:val="004E182E"/>
    <w:rsid w:val="005010B8"/>
    <w:rsid w:val="005025FD"/>
    <w:rsid w:val="005029B7"/>
    <w:rsid w:val="005052EF"/>
    <w:rsid w:val="005121FC"/>
    <w:rsid w:val="00515908"/>
    <w:rsid w:val="00515F15"/>
    <w:rsid w:val="00527516"/>
    <w:rsid w:val="00543A27"/>
    <w:rsid w:val="005441C5"/>
    <w:rsid w:val="005448F8"/>
    <w:rsid w:val="00551267"/>
    <w:rsid w:val="00567A66"/>
    <w:rsid w:val="00576810"/>
    <w:rsid w:val="00581D8B"/>
    <w:rsid w:val="00582CD3"/>
    <w:rsid w:val="00584A19"/>
    <w:rsid w:val="00595E2F"/>
    <w:rsid w:val="0059693F"/>
    <w:rsid w:val="005A0A1A"/>
    <w:rsid w:val="005A0C0A"/>
    <w:rsid w:val="005A22C8"/>
    <w:rsid w:val="005A25CA"/>
    <w:rsid w:val="005B068F"/>
    <w:rsid w:val="005B633A"/>
    <w:rsid w:val="005B77D6"/>
    <w:rsid w:val="005C3928"/>
    <w:rsid w:val="005D0710"/>
    <w:rsid w:val="005F70AB"/>
    <w:rsid w:val="006143D7"/>
    <w:rsid w:val="00615F3D"/>
    <w:rsid w:val="00616ECA"/>
    <w:rsid w:val="00623D0E"/>
    <w:rsid w:val="00624A9F"/>
    <w:rsid w:val="00626F0C"/>
    <w:rsid w:val="00627A6A"/>
    <w:rsid w:val="00635A6E"/>
    <w:rsid w:val="00643B09"/>
    <w:rsid w:val="0065318E"/>
    <w:rsid w:val="00667811"/>
    <w:rsid w:val="00672CAB"/>
    <w:rsid w:val="00673C0A"/>
    <w:rsid w:val="00674490"/>
    <w:rsid w:val="0067673E"/>
    <w:rsid w:val="00680A29"/>
    <w:rsid w:val="00692DFF"/>
    <w:rsid w:val="006C553B"/>
    <w:rsid w:val="006E2E32"/>
    <w:rsid w:val="006F71B6"/>
    <w:rsid w:val="00700AA2"/>
    <w:rsid w:val="0070721D"/>
    <w:rsid w:val="00707508"/>
    <w:rsid w:val="00710828"/>
    <w:rsid w:val="00723ECD"/>
    <w:rsid w:val="007307D5"/>
    <w:rsid w:val="007428B7"/>
    <w:rsid w:val="0074539E"/>
    <w:rsid w:val="00747125"/>
    <w:rsid w:val="00751C88"/>
    <w:rsid w:val="0076395F"/>
    <w:rsid w:val="00763F2C"/>
    <w:rsid w:val="00766CFC"/>
    <w:rsid w:val="00770D62"/>
    <w:rsid w:val="0077249F"/>
    <w:rsid w:val="00774D9A"/>
    <w:rsid w:val="00790238"/>
    <w:rsid w:val="007969D0"/>
    <w:rsid w:val="007A1D74"/>
    <w:rsid w:val="007A7C74"/>
    <w:rsid w:val="007B03B9"/>
    <w:rsid w:val="007B0F48"/>
    <w:rsid w:val="007B218F"/>
    <w:rsid w:val="007C031F"/>
    <w:rsid w:val="007C1889"/>
    <w:rsid w:val="007C4C80"/>
    <w:rsid w:val="007E40C6"/>
    <w:rsid w:val="007F12EA"/>
    <w:rsid w:val="008032FC"/>
    <w:rsid w:val="0080563D"/>
    <w:rsid w:val="00825E2F"/>
    <w:rsid w:val="00840126"/>
    <w:rsid w:val="00842022"/>
    <w:rsid w:val="008432DD"/>
    <w:rsid w:val="0084426A"/>
    <w:rsid w:val="0084493D"/>
    <w:rsid w:val="008452F2"/>
    <w:rsid w:val="00853606"/>
    <w:rsid w:val="0085624A"/>
    <w:rsid w:val="00857AC3"/>
    <w:rsid w:val="00865A3D"/>
    <w:rsid w:val="0086603B"/>
    <w:rsid w:val="008715F8"/>
    <w:rsid w:val="00881DE2"/>
    <w:rsid w:val="00882AD4"/>
    <w:rsid w:val="00890826"/>
    <w:rsid w:val="00890EE7"/>
    <w:rsid w:val="00892473"/>
    <w:rsid w:val="00893D5B"/>
    <w:rsid w:val="00895EED"/>
    <w:rsid w:val="008A72B1"/>
    <w:rsid w:val="008A7511"/>
    <w:rsid w:val="008B291B"/>
    <w:rsid w:val="008B2C54"/>
    <w:rsid w:val="008C7D83"/>
    <w:rsid w:val="008E4409"/>
    <w:rsid w:val="008E5C65"/>
    <w:rsid w:val="008F0161"/>
    <w:rsid w:val="008F2B52"/>
    <w:rsid w:val="009016CC"/>
    <w:rsid w:val="00906F6E"/>
    <w:rsid w:val="00910E36"/>
    <w:rsid w:val="009231D2"/>
    <w:rsid w:val="009527F6"/>
    <w:rsid w:val="00954894"/>
    <w:rsid w:val="0095616F"/>
    <w:rsid w:val="00962990"/>
    <w:rsid w:val="00976FD6"/>
    <w:rsid w:val="00981CFB"/>
    <w:rsid w:val="00993424"/>
    <w:rsid w:val="009A101E"/>
    <w:rsid w:val="009A4560"/>
    <w:rsid w:val="009B2D97"/>
    <w:rsid w:val="009D484C"/>
    <w:rsid w:val="009D4C9F"/>
    <w:rsid w:val="009E7961"/>
    <w:rsid w:val="00A26710"/>
    <w:rsid w:val="00A303A8"/>
    <w:rsid w:val="00A33ABB"/>
    <w:rsid w:val="00A34A57"/>
    <w:rsid w:val="00A47184"/>
    <w:rsid w:val="00A509C5"/>
    <w:rsid w:val="00A533C1"/>
    <w:rsid w:val="00A578CD"/>
    <w:rsid w:val="00A631AE"/>
    <w:rsid w:val="00A73A61"/>
    <w:rsid w:val="00A75C51"/>
    <w:rsid w:val="00A76A9D"/>
    <w:rsid w:val="00A82741"/>
    <w:rsid w:val="00A84EFF"/>
    <w:rsid w:val="00A96937"/>
    <w:rsid w:val="00AA568B"/>
    <w:rsid w:val="00AD380C"/>
    <w:rsid w:val="00AE1CC3"/>
    <w:rsid w:val="00AE4EAE"/>
    <w:rsid w:val="00AE6EFD"/>
    <w:rsid w:val="00AF06EE"/>
    <w:rsid w:val="00AF1564"/>
    <w:rsid w:val="00AF659C"/>
    <w:rsid w:val="00B02EEF"/>
    <w:rsid w:val="00B1250D"/>
    <w:rsid w:val="00B17B63"/>
    <w:rsid w:val="00B24B99"/>
    <w:rsid w:val="00B260C6"/>
    <w:rsid w:val="00B302E0"/>
    <w:rsid w:val="00B326F3"/>
    <w:rsid w:val="00B336B4"/>
    <w:rsid w:val="00B33797"/>
    <w:rsid w:val="00B3728F"/>
    <w:rsid w:val="00B54C77"/>
    <w:rsid w:val="00B5693C"/>
    <w:rsid w:val="00B61305"/>
    <w:rsid w:val="00B616E5"/>
    <w:rsid w:val="00B651DA"/>
    <w:rsid w:val="00B67EEE"/>
    <w:rsid w:val="00B70142"/>
    <w:rsid w:val="00B7120D"/>
    <w:rsid w:val="00B75AFE"/>
    <w:rsid w:val="00B77DA6"/>
    <w:rsid w:val="00B82A04"/>
    <w:rsid w:val="00B84539"/>
    <w:rsid w:val="00B84905"/>
    <w:rsid w:val="00B9215C"/>
    <w:rsid w:val="00B97979"/>
    <w:rsid w:val="00BA2B10"/>
    <w:rsid w:val="00BC006D"/>
    <w:rsid w:val="00BC0B54"/>
    <w:rsid w:val="00BC49B7"/>
    <w:rsid w:val="00BC5CB8"/>
    <w:rsid w:val="00BE7247"/>
    <w:rsid w:val="00BF598C"/>
    <w:rsid w:val="00BF75D0"/>
    <w:rsid w:val="00C0446B"/>
    <w:rsid w:val="00C04540"/>
    <w:rsid w:val="00C11B42"/>
    <w:rsid w:val="00C13274"/>
    <w:rsid w:val="00C141CE"/>
    <w:rsid w:val="00C24012"/>
    <w:rsid w:val="00C259AB"/>
    <w:rsid w:val="00C37231"/>
    <w:rsid w:val="00C41F0D"/>
    <w:rsid w:val="00C44FD5"/>
    <w:rsid w:val="00C5008E"/>
    <w:rsid w:val="00C5440D"/>
    <w:rsid w:val="00C6139B"/>
    <w:rsid w:val="00C700F7"/>
    <w:rsid w:val="00C7063D"/>
    <w:rsid w:val="00C71647"/>
    <w:rsid w:val="00C72D29"/>
    <w:rsid w:val="00C829D1"/>
    <w:rsid w:val="00C83825"/>
    <w:rsid w:val="00C87C0C"/>
    <w:rsid w:val="00C9146A"/>
    <w:rsid w:val="00C97EFA"/>
    <w:rsid w:val="00CB03AC"/>
    <w:rsid w:val="00CB0485"/>
    <w:rsid w:val="00CB1455"/>
    <w:rsid w:val="00CB71BF"/>
    <w:rsid w:val="00CB7A5B"/>
    <w:rsid w:val="00CC415F"/>
    <w:rsid w:val="00CE0A12"/>
    <w:rsid w:val="00CE49B4"/>
    <w:rsid w:val="00D04BC4"/>
    <w:rsid w:val="00D10308"/>
    <w:rsid w:val="00D121D5"/>
    <w:rsid w:val="00D20004"/>
    <w:rsid w:val="00D26DEB"/>
    <w:rsid w:val="00D41A0F"/>
    <w:rsid w:val="00D53060"/>
    <w:rsid w:val="00D657B9"/>
    <w:rsid w:val="00D77DB9"/>
    <w:rsid w:val="00D823EA"/>
    <w:rsid w:val="00D8287E"/>
    <w:rsid w:val="00DA0C5A"/>
    <w:rsid w:val="00DA3432"/>
    <w:rsid w:val="00DA6F01"/>
    <w:rsid w:val="00DB3BF7"/>
    <w:rsid w:val="00DC4348"/>
    <w:rsid w:val="00DC4D61"/>
    <w:rsid w:val="00DD27A1"/>
    <w:rsid w:val="00DD432B"/>
    <w:rsid w:val="00E0191F"/>
    <w:rsid w:val="00E027C1"/>
    <w:rsid w:val="00E062C2"/>
    <w:rsid w:val="00E07AF9"/>
    <w:rsid w:val="00E15AA4"/>
    <w:rsid w:val="00E32F65"/>
    <w:rsid w:val="00E33ED3"/>
    <w:rsid w:val="00E42DA9"/>
    <w:rsid w:val="00E503CD"/>
    <w:rsid w:val="00E6295A"/>
    <w:rsid w:val="00E664A1"/>
    <w:rsid w:val="00E711E5"/>
    <w:rsid w:val="00E715E7"/>
    <w:rsid w:val="00E72535"/>
    <w:rsid w:val="00E725E3"/>
    <w:rsid w:val="00E7436D"/>
    <w:rsid w:val="00EA3BD6"/>
    <w:rsid w:val="00EA4C27"/>
    <w:rsid w:val="00EA5F35"/>
    <w:rsid w:val="00EB507C"/>
    <w:rsid w:val="00EC17CF"/>
    <w:rsid w:val="00EC1D69"/>
    <w:rsid w:val="00EE09AA"/>
    <w:rsid w:val="00EF547F"/>
    <w:rsid w:val="00EF64C5"/>
    <w:rsid w:val="00F01382"/>
    <w:rsid w:val="00F04279"/>
    <w:rsid w:val="00F072F2"/>
    <w:rsid w:val="00F163C2"/>
    <w:rsid w:val="00F25D24"/>
    <w:rsid w:val="00F273F0"/>
    <w:rsid w:val="00F30756"/>
    <w:rsid w:val="00F360EB"/>
    <w:rsid w:val="00F37B82"/>
    <w:rsid w:val="00F40619"/>
    <w:rsid w:val="00F50736"/>
    <w:rsid w:val="00F5633A"/>
    <w:rsid w:val="00F6163F"/>
    <w:rsid w:val="00F65E0B"/>
    <w:rsid w:val="00F70A21"/>
    <w:rsid w:val="00F810BD"/>
    <w:rsid w:val="00F87E4C"/>
    <w:rsid w:val="00F95660"/>
    <w:rsid w:val="00FA672A"/>
    <w:rsid w:val="00FB1E19"/>
    <w:rsid w:val="00FD1833"/>
    <w:rsid w:val="00FE4E18"/>
    <w:rsid w:val="00FE6A08"/>
    <w:rsid w:val="01913F93"/>
    <w:rsid w:val="038878EA"/>
    <w:rsid w:val="06FC46CD"/>
    <w:rsid w:val="078C42BE"/>
    <w:rsid w:val="07B91BAB"/>
    <w:rsid w:val="0B641E58"/>
    <w:rsid w:val="0D017872"/>
    <w:rsid w:val="10B1077E"/>
    <w:rsid w:val="11254C21"/>
    <w:rsid w:val="142C7357"/>
    <w:rsid w:val="148F57CF"/>
    <w:rsid w:val="15B8203D"/>
    <w:rsid w:val="1B103878"/>
    <w:rsid w:val="1CB244DA"/>
    <w:rsid w:val="209633F4"/>
    <w:rsid w:val="215E22F2"/>
    <w:rsid w:val="22537AA7"/>
    <w:rsid w:val="24CB42FC"/>
    <w:rsid w:val="2543456D"/>
    <w:rsid w:val="27E71C99"/>
    <w:rsid w:val="27E80FBB"/>
    <w:rsid w:val="2916615D"/>
    <w:rsid w:val="29C25FA2"/>
    <w:rsid w:val="2A350FA1"/>
    <w:rsid w:val="2B3F0F39"/>
    <w:rsid w:val="2B3F4D30"/>
    <w:rsid w:val="2B8E1551"/>
    <w:rsid w:val="2F91389C"/>
    <w:rsid w:val="2F9D0C5E"/>
    <w:rsid w:val="30823D32"/>
    <w:rsid w:val="349F328B"/>
    <w:rsid w:val="3A6C6926"/>
    <w:rsid w:val="3AB029D7"/>
    <w:rsid w:val="3AB250A8"/>
    <w:rsid w:val="3AE22CE9"/>
    <w:rsid w:val="3BC9493A"/>
    <w:rsid w:val="3C237482"/>
    <w:rsid w:val="3C6F136A"/>
    <w:rsid w:val="406465A2"/>
    <w:rsid w:val="41867332"/>
    <w:rsid w:val="41EC3530"/>
    <w:rsid w:val="42DA0ACC"/>
    <w:rsid w:val="43542742"/>
    <w:rsid w:val="438A333D"/>
    <w:rsid w:val="454D5870"/>
    <w:rsid w:val="481E24CC"/>
    <w:rsid w:val="483E2EF3"/>
    <w:rsid w:val="49FE303F"/>
    <w:rsid w:val="4B0D7F88"/>
    <w:rsid w:val="4F2E6F39"/>
    <w:rsid w:val="4FB105B6"/>
    <w:rsid w:val="51DA672E"/>
    <w:rsid w:val="53506828"/>
    <w:rsid w:val="538814A3"/>
    <w:rsid w:val="548D5831"/>
    <w:rsid w:val="55493722"/>
    <w:rsid w:val="57ED0FEA"/>
    <w:rsid w:val="5BC6609F"/>
    <w:rsid w:val="5C0E20CF"/>
    <w:rsid w:val="5C634A2E"/>
    <w:rsid w:val="61263BEC"/>
    <w:rsid w:val="64567C25"/>
    <w:rsid w:val="652C5CC4"/>
    <w:rsid w:val="6546172C"/>
    <w:rsid w:val="666B291E"/>
    <w:rsid w:val="674D3C65"/>
    <w:rsid w:val="67A15623"/>
    <w:rsid w:val="685C5FD3"/>
    <w:rsid w:val="6939171D"/>
    <w:rsid w:val="6A2D288F"/>
    <w:rsid w:val="6B4475E0"/>
    <w:rsid w:val="6B9B6033"/>
    <w:rsid w:val="6C743780"/>
    <w:rsid w:val="6E5D3146"/>
    <w:rsid w:val="6F423E44"/>
    <w:rsid w:val="6F43104A"/>
    <w:rsid w:val="6F657EEB"/>
    <w:rsid w:val="6F7B165B"/>
    <w:rsid w:val="703E51B9"/>
    <w:rsid w:val="71264089"/>
    <w:rsid w:val="71B27BFF"/>
    <w:rsid w:val="72127993"/>
    <w:rsid w:val="72547576"/>
    <w:rsid w:val="72C72545"/>
    <w:rsid w:val="742E54B7"/>
    <w:rsid w:val="745D7995"/>
    <w:rsid w:val="764260DB"/>
    <w:rsid w:val="77335216"/>
    <w:rsid w:val="788E595F"/>
    <w:rsid w:val="79672462"/>
    <w:rsid w:val="7A706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6"/>
    <w:qFormat/>
    <w:uiPriority w:val="0"/>
    <w:pPr>
      <w:keepNext/>
      <w:keepLines/>
      <w:spacing w:before="260" w:after="260" w:line="413" w:lineRule="auto"/>
      <w:outlineLvl w:val="2"/>
    </w:pPr>
    <w:rPr>
      <w:rFonts w:ascii="Calibri" w:hAnsi="Calibri"/>
      <w:b/>
      <w:kern w:val="0"/>
      <w:sz w:val="32"/>
      <w:szCs w:val="20"/>
    </w:rPr>
  </w:style>
  <w:style w:type="paragraph" w:styleId="3">
    <w:name w:val="heading 4"/>
    <w:basedOn w:val="1"/>
    <w:next w:val="1"/>
    <w:link w:val="2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rPr>
      <w:szCs w:val="24"/>
    </w:rPr>
  </w:style>
  <w:style w:type="paragraph" w:styleId="5">
    <w:name w:val="Body Text Indent"/>
    <w:basedOn w:val="1"/>
    <w:link w:val="17"/>
    <w:qFormat/>
    <w:uiPriority w:val="0"/>
    <w:pPr>
      <w:tabs>
        <w:tab w:val="left" w:pos="0"/>
        <w:tab w:val="left" w:pos="993"/>
        <w:tab w:val="left" w:pos="1134"/>
      </w:tabs>
      <w:spacing w:line="500" w:lineRule="exact"/>
      <w:ind w:firstLine="567"/>
    </w:pPr>
    <w:rPr>
      <w:rFonts w:ascii="宋体" w:hAnsi="Calibri"/>
      <w:sz w:val="28"/>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link w:val="19"/>
    <w:qFormat/>
    <w:uiPriority w:val="0"/>
    <w:rPr>
      <w:rFonts w:ascii="Calibri" w:hAnsi="Calibri" w:eastAsia="仿宋_GB2312"/>
      <w:sz w:val="30"/>
    </w:rPr>
  </w:style>
  <w:style w:type="paragraph" w:styleId="8">
    <w:name w:val="Balloon Text"/>
    <w:basedOn w:val="1"/>
    <w:semiHidden/>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szCs w:val="20"/>
    </w:rPr>
  </w:style>
  <w:style w:type="paragraph" w:styleId="12">
    <w:name w:val="Body Text Indent 3"/>
    <w:basedOn w:val="1"/>
    <w:link w:val="21"/>
    <w:qFormat/>
    <w:uiPriority w:val="0"/>
    <w:pPr>
      <w:spacing w:after="120"/>
      <w:ind w:left="420" w:leftChars="200"/>
    </w:pPr>
    <w:rPr>
      <w:rFonts w:ascii="Calibri" w:hAnsi="Calibri"/>
      <w:sz w:val="16"/>
      <w:szCs w:val="16"/>
    </w:rPr>
  </w:style>
  <w:style w:type="paragraph" w:styleId="13">
    <w:name w:val="Title"/>
    <w:basedOn w:val="1"/>
    <w:link w:val="22"/>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6">
    <w:name w:val="标题 3 Char"/>
    <w:link w:val="2"/>
    <w:qFormat/>
    <w:uiPriority w:val="0"/>
    <w:rPr>
      <w:rFonts w:ascii="Calibri" w:hAnsi="Calibri" w:eastAsia="宋体"/>
      <w:b/>
      <w:sz w:val="32"/>
      <w:lang w:bidi="ar-SA"/>
    </w:rPr>
  </w:style>
  <w:style w:type="character" w:customStyle="1" w:styleId="17">
    <w:name w:val="正文文本缩进 Char"/>
    <w:link w:val="5"/>
    <w:qFormat/>
    <w:uiPriority w:val="0"/>
    <w:rPr>
      <w:rFonts w:ascii="宋体" w:hAnsi="Calibri"/>
      <w:kern w:val="2"/>
      <w:sz w:val="28"/>
      <w:szCs w:val="22"/>
    </w:rPr>
  </w:style>
  <w:style w:type="character" w:customStyle="1" w:styleId="18">
    <w:name w:val="纯文本 Char"/>
    <w:link w:val="6"/>
    <w:qFormat/>
    <w:uiPriority w:val="0"/>
    <w:rPr>
      <w:rFonts w:ascii="宋体" w:hAnsi="Courier New" w:eastAsia="宋体" w:cs="Courier New"/>
      <w:kern w:val="2"/>
      <w:sz w:val="21"/>
      <w:szCs w:val="21"/>
      <w:lang w:val="en-US" w:eastAsia="zh-CN" w:bidi="ar-SA"/>
    </w:rPr>
  </w:style>
  <w:style w:type="character" w:customStyle="1" w:styleId="19">
    <w:name w:val="日期 Char"/>
    <w:link w:val="7"/>
    <w:qFormat/>
    <w:uiPriority w:val="0"/>
    <w:rPr>
      <w:rFonts w:ascii="Calibri" w:hAnsi="Calibri" w:eastAsia="仿宋_GB2312"/>
      <w:kern w:val="2"/>
      <w:sz w:val="30"/>
      <w:szCs w:val="22"/>
    </w:rPr>
  </w:style>
  <w:style w:type="character" w:customStyle="1" w:styleId="20">
    <w:name w:val="页脚 Char"/>
    <w:link w:val="9"/>
    <w:qFormat/>
    <w:uiPriority w:val="99"/>
    <w:rPr>
      <w:rFonts w:ascii="Calibri" w:hAnsi="Calibri"/>
      <w:kern w:val="2"/>
      <w:sz w:val="18"/>
      <w:szCs w:val="18"/>
    </w:rPr>
  </w:style>
  <w:style w:type="character" w:customStyle="1" w:styleId="21">
    <w:name w:val="正文文本缩进 3 Char"/>
    <w:link w:val="12"/>
    <w:qFormat/>
    <w:uiPriority w:val="0"/>
    <w:rPr>
      <w:rFonts w:ascii="Calibri" w:hAnsi="Calibri"/>
      <w:kern w:val="2"/>
      <w:sz w:val="16"/>
      <w:szCs w:val="16"/>
    </w:rPr>
  </w:style>
  <w:style w:type="character" w:customStyle="1" w:styleId="22">
    <w:name w:val="标题 Char"/>
    <w:link w:val="13"/>
    <w:qFormat/>
    <w:uiPriority w:val="0"/>
    <w:rPr>
      <w:rFonts w:ascii="Arial" w:hAnsi="Arial" w:eastAsia="宋体"/>
      <w:b/>
      <w:sz w:val="32"/>
      <w:lang w:bidi="ar-SA"/>
    </w:rPr>
  </w:style>
  <w:style w:type="paragraph" w:customStyle="1" w:styleId="23">
    <w:name w:val="Normal_2"/>
    <w:qFormat/>
    <w:uiPriority w:val="0"/>
    <w:rPr>
      <w:rFonts w:ascii="Times New Roman" w:hAnsi="Times New Roman" w:eastAsia="宋体" w:cs="Times New Roman"/>
      <w:sz w:val="24"/>
      <w:szCs w:val="24"/>
      <w:lang w:val="en-US" w:eastAsia="zh-CN" w:bidi="ar-SA"/>
    </w:rPr>
  </w:style>
  <w:style w:type="paragraph" w:customStyle="1" w:styleId="24">
    <w:name w:val="Normal_1"/>
    <w:qFormat/>
    <w:uiPriority w:val="0"/>
    <w:rPr>
      <w:rFonts w:ascii="Times New Roman" w:hAnsi="Times New Roman" w:eastAsia="宋体" w:cs="Times New Roman"/>
      <w:sz w:val="24"/>
      <w:szCs w:val="24"/>
      <w:lang w:val="en-US" w:eastAsia="zh-CN" w:bidi="ar-SA"/>
    </w:rPr>
  </w:style>
  <w:style w:type="paragraph" w:customStyle="1" w:styleId="25">
    <w:name w:val="Normal_0"/>
    <w:qFormat/>
    <w:uiPriority w:val="0"/>
    <w:rPr>
      <w:rFonts w:ascii="Times New Roman" w:hAnsi="Times New Roman" w:eastAsia="宋体" w:cs="Times New Roman"/>
      <w:sz w:val="24"/>
      <w:szCs w:val="24"/>
      <w:lang w:val="en-US" w:eastAsia="zh-CN" w:bidi="ar-SA"/>
    </w:rPr>
  </w:style>
  <w:style w:type="paragraph" w:customStyle="1" w:styleId="26">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27">
    <w:name w:val="标题 4 Char"/>
    <w:basedOn w:val="15"/>
    <w:link w:val="3"/>
    <w:semiHidden/>
    <w:qFormat/>
    <w:uiPriority w:val="0"/>
    <w:rPr>
      <w:rFonts w:asciiTheme="majorHAnsi" w:hAnsiTheme="majorHAnsi" w:eastAsiaTheme="majorEastAsia" w:cstheme="majorBidi"/>
      <w:b/>
      <w:bCs/>
      <w:kern w:val="2"/>
      <w:sz w:val="28"/>
      <w:szCs w:val="28"/>
    </w:rPr>
  </w:style>
  <w:style w:type="paragraph" w:customStyle="1" w:styleId="28">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批注文字 Char"/>
    <w:basedOn w:val="15"/>
    <w:link w:val="4"/>
    <w:qFormat/>
    <w:uiPriority w:val="0"/>
    <w:rPr>
      <w:kern w:val="2"/>
      <w:sz w:val="21"/>
      <w:szCs w:val="24"/>
    </w:rPr>
  </w:style>
  <w:style w:type="character" w:customStyle="1" w:styleId="30">
    <w:name w:val="页眉 Char"/>
    <w:basedOn w:val="15"/>
    <w:link w:val="10"/>
    <w:qFormat/>
    <w:uiPriority w:val="99"/>
    <w:rPr>
      <w:kern w:val="2"/>
      <w:sz w:val="18"/>
      <w:szCs w:val="18"/>
    </w:rPr>
  </w:style>
  <w:style w:type="paragraph" w:styleId="31">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8451</Words>
  <Characters>8672</Characters>
  <Lines>69</Lines>
  <Paragraphs>19</Paragraphs>
  <TotalTime>16</TotalTime>
  <ScaleCrop>false</ScaleCrop>
  <LinksUpToDate>false</LinksUpToDate>
  <CharactersWithSpaces>9327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2022-08-19T09:50:00Z</dcterms:created>
  <dc:creator>微软用户</dc:creator>
  <cp:lastModifiedBy>于剑</cp:lastModifiedBy>
  <cp:lastPrinted>2023-01-03T02:05:42Z</cp:lastPrinted>
  <dcterms:modified xsi:type="dcterms:W3CDTF">2023-01-03T02:07:10Z</dcterms:modified>
  <dc:title>扬州市工程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D1CE1CD715B040908A4FFF9E947299D0</vt:lpwstr>
  </property>
</Properties>
</file>