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仿宋"/>
          <w:b/>
          <w:bCs/>
          <w:sz w:val="52"/>
          <w:szCs w:val="52"/>
        </w:rPr>
      </w:pPr>
      <w:r>
        <w:rPr>
          <w:rFonts w:hint="eastAsia" w:ascii="黑体" w:hAnsi="黑体" w:eastAsia="黑体" w:cs="仿宋"/>
          <w:b/>
          <w:bCs/>
          <w:sz w:val="52"/>
          <w:szCs w:val="52"/>
        </w:rPr>
        <w:t>江都路(万福路-文昌路)雨污水管道及景观提升工程施工三标段</w:t>
      </w:r>
      <w:r>
        <w:rPr>
          <w:rFonts w:hint="eastAsia" w:ascii="黑体" w:hAnsi="黑体" w:eastAsia="黑体" w:cs="仿宋"/>
          <w:b/>
          <w:bCs/>
          <w:sz w:val="52"/>
          <w:szCs w:val="52"/>
          <w:lang w:val="en-US" w:eastAsia="zh-CN"/>
        </w:rPr>
        <w:t>-</w:t>
      </w:r>
      <w:r>
        <w:rPr>
          <w:rFonts w:hint="eastAsia" w:ascii="黑体" w:hAnsi="黑体" w:eastAsia="黑体" w:cs="仿宋"/>
          <w:b/>
          <w:bCs/>
          <w:sz w:val="52"/>
          <w:szCs w:val="52"/>
        </w:rPr>
        <w:t>建筑工程一切险</w:t>
      </w:r>
    </w:p>
    <w:p>
      <w:pPr>
        <w:jc w:val="center"/>
        <w:rPr>
          <w:rFonts w:hint="eastAsia" w:ascii="黑体" w:hAnsi="黑体" w:eastAsia="黑体" w:cs="仿宋"/>
          <w:b/>
          <w:bCs/>
          <w:sz w:val="52"/>
          <w:szCs w:val="52"/>
        </w:rPr>
      </w:pPr>
    </w:p>
    <w:p>
      <w:pPr>
        <w:jc w:val="center"/>
        <w:rPr>
          <w:rFonts w:ascii="黑体" w:hAnsi="黑体" w:eastAsia="黑体" w:cs="仿宋"/>
          <w:b/>
          <w:bCs/>
          <w:sz w:val="52"/>
          <w:szCs w:val="52"/>
        </w:rPr>
      </w:pPr>
      <w:bookmarkStart w:id="33" w:name="_GoBack"/>
      <w:bookmarkEnd w:id="33"/>
      <w:r>
        <w:rPr>
          <w:rFonts w:hint="eastAsia" w:ascii="黑体" w:hAnsi="黑体" w:eastAsia="黑体" w:cs="仿宋"/>
          <w:b/>
          <w:bCs/>
          <w:sz w:val="52"/>
          <w:szCs w:val="52"/>
        </w:rPr>
        <w:t>招标文件</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spacing w:before="100" w:beforeAutospacing="1" w:after="100" w:afterAutospacing="1" w:line="360" w:lineRule="auto"/>
        <w:ind w:left="840" w:leftChars="400" w:firstLine="784" w:firstLineChars="280"/>
        <w:rPr>
          <w:rFonts w:hint="eastAsia" w:ascii="仿宋" w:hAnsi="仿宋" w:eastAsia="仿宋" w:cs="仿宋"/>
          <w:sz w:val="28"/>
          <w:szCs w:val="28"/>
        </w:rPr>
      </w:pPr>
    </w:p>
    <w:p>
      <w:pPr>
        <w:spacing w:before="100" w:beforeAutospacing="1" w:after="100" w:afterAutospacing="1" w:line="360" w:lineRule="auto"/>
        <w:ind w:left="840" w:leftChars="400" w:firstLine="784" w:firstLineChars="280"/>
        <w:rPr>
          <w:rFonts w:hint="eastAsia" w:ascii="仿宋" w:hAnsi="仿宋" w:eastAsia="仿宋" w:cs="仿宋"/>
          <w:sz w:val="28"/>
          <w:szCs w:val="28"/>
        </w:rPr>
      </w:pPr>
    </w:p>
    <w:p>
      <w:pPr>
        <w:spacing w:before="100" w:beforeAutospacing="1" w:after="100" w:afterAutospacing="1" w:line="360" w:lineRule="auto"/>
        <w:ind w:left="840" w:leftChars="400" w:firstLine="784" w:firstLineChars="280"/>
        <w:rPr>
          <w:rFonts w:hint="eastAsia" w:ascii="仿宋" w:hAnsi="仿宋" w:eastAsia="仿宋" w:cs="仿宋"/>
          <w:sz w:val="28"/>
          <w:szCs w:val="28"/>
        </w:rPr>
      </w:pPr>
    </w:p>
    <w:p>
      <w:pPr>
        <w:spacing w:before="100" w:beforeAutospacing="1" w:after="100" w:afterAutospacing="1" w:line="360" w:lineRule="auto"/>
        <w:ind w:left="840" w:leftChars="400" w:firstLine="784" w:firstLineChars="280"/>
        <w:rPr>
          <w:rFonts w:hint="eastAsia" w:ascii="仿宋" w:hAnsi="仿宋" w:eastAsia="仿宋" w:cs="仿宋"/>
          <w:sz w:val="28"/>
          <w:szCs w:val="28"/>
        </w:rPr>
      </w:pPr>
    </w:p>
    <w:p>
      <w:pPr>
        <w:spacing w:before="100" w:beforeAutospacing="1" w:after="100" w:afterAutospacing="1" w:line="360" w:lineRule="auto"/>
        <w:ind w:left="840" w:leftChars="400" w:firstLine="784" w:firstLineChars="280"/>
        <w:rPr>
          <w:rFonts w:hint="eastAsia" w:ascii="仿宋" w:hAnsi="仿宋" w:eastAsia="仿宋" w:cs="仿宋"/>
          <w:sz w:val="28"/>
          <w:szCs w:val="28"/>
        </w:rPr>
      </w:pPr>
    </w:p>
    <w:p>
      <w:pPr>
        <w:spacing w:before="100" w:beforeAutospacing="1" w:after="100" w:afterAutospacing="1" w:line="360" w:lineRule="auto"/>
        <w:ind w:left="840" w:leftChars="400" w:firstLine="784" w:firstLineChars="280"/>
        <w:rPr>
          <w:rFonts w:ascii="仿宋" w:hAnsi="仿宋" w:eastAsia="仿宋" w:cs="仿宋"/>
          <w:sz w:val="28"/>
          <w:szCs w:val="28"/>
        </w:rPr>
      </w:pPr>
      <w:r>
        <w:rPr>
          <w:rFonts w:hint="eastAsia" w:ascii="仿宋" w:hAnsi="仿宋" w:eastAsia="仿宋" w:cs="仿宋"/>
          <w:sz w:val="28"/>
          <w:szCs w:val="28"/>
        </w:rPr>
        <w:t>招  标  人：扬州市上善建设工程有限公司</w:t>
      </w:r>
    </w:p>
    <w:p>
      <w:pPr>
        <w:jc w:val="center"/>
        <w:rPr>
          <w:rFonts w:ascii="仿宋" w:hAnsi="仿宋" w:eastAsia="仿宋" w:cs="仿宋"/>
          <w:sz w:val="28"/>
          <w:szCs w:val="28"/>
        </w:rPr>
      </w:pPr>
      <w:r>
        <w:rPr>
          <w:rFonts w:hint="eastAsia" w:ascii="仿宋" w:hAnsi="仿宋" w:eastAsia="仿宋" w:cs="仿宋"/>
          <w:sz w:val="28"/>
          <w:szCs w:val="28"/>
        </w:rPr>
        <w:t>日  期：2023年07月10</w:t>
      </w:r>
    </w:p>
    <w:p>
      <w:pPr>
        <w:tabs>
          <w:tab w:val="center" w:pos="4535"/>
          <w:tab w:val="left" w:pos="6840"/>
        </w:tabs>
        <w:spacing w:beforeLines="100" w:line="240" w:lineRule="atLeast"/>
        <w:jc w:val="center"/>
        <w:textAlignment w:val="baseline"/>
        <w:rPr>
          <w:rFonts w:ascii="仿宋" w:hAnsi="仿宋" w:eastAsia="仿宋" w:cs="仿宋"/>
          <w:b/>
          <w:sz w:val="28"/>
          <w:szCs w:val="28"/>
        </w:rPr>
      </w:pPr>
      <w:r>
        <w:rPr>
          <w:rFonts w:hint="eastAsia" w:ascii="仿宋" w:hAnsi="仿宋" w:eastAsia="仿宋" w:cs="仿宋"/>
          <w:sz w:val="28"/>
          <w:szCs w:val="28"/>
        </w:rPr>
        <w:br w:type="page"/>
      </w:r>
      <w:r>
        <w:rPr>
          <w:rFonts w:hint="eastAsia" w:ascii="仿宋" w:hAnsi="仿宋" w:eastAsia="仿宋" w:cs="仿宋"/>
          <w:b/>
          <w:sz w:val="28"/>
          <w:szCs w:val="28"/>
        </w:rPr>
        <w:t>目 录</w:t>
      </w:r>
    </w:p>
    <w:p>
      <w:pPr>
        <w:pStyle w:val="12"/>
        <w:tabs>
          <w:tab w:val="right" w:leader="dot" w:pos="9060"/>
        </w:tabs>
        <w:spacing w:beforeLines="50" w:afterLines="50" w:line="360" w:lineRule="auto"/>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TOC \o "1-3" \h \z </w:instrText>
      </w:r>
      <w:r>
        <w:rPr>
          <w:rFonts w:hint="eastAsia" w:ascii="宋体" w:hAnsi="宋体" w:cs="宋体"/>
          <w:sz w:val="28"/>
          <w:szCs w:val="28"/>
        </w:rPr>
        <w:fldChar w:fldCharType="separate"/>
      </w:r>
      <w:r>
        <w:fldChar w:fldCharType="begin"/>
      </w:r>
      <w:r>
        <w:instrText xml:space="preserve"> HYPERLINK \l "_Toc216420218" </w:instrText>
      </w:r>
      <w:r>
        <w:fldChar w:fldCharType="separate"/>
      </w:r>
      <w:r>
        <w:rPr>
          <w:rStyle w:val="17"/>
          <w:rFonts w:hint="eastAsia" w:ascii="宋体" w:hAnsi="宋体" w:cs="宋体"/>
          <w:color w:val="auto"/>
          <w:kern w:val="44"/>
          <w:sz w:val="28"/>
          <w:szCs w:val="28"/>
        </w:rPr>
        <w:t>第一章 招标公告</w:t>
      </w:r>
      <w:r>
        <w:rPr>
          <w:rFonts w:hint="eastAsia" w:ascii="宋体" w:hAnsi="宋体" w:cs="宋体"/>
          <w:sz w:val="28"/>
          <w:szCs w:val="28"/>
        </w:rPr>
        <w:tab/>
      </w:r>
      <w:r>
        <w:rPr>
          <w:rFonts w:hint="eastAsia" w:ascii="宋体" w:hAnsi="宋体" w:cs="宋体"/>
          <w:sz w:val="28"/>
          <w:szCs w:val="28"/>
        </w:rPr>
        <w:fldChar w:fldCharType="end"/>
      </w:r>
      <w:r>
        <w:rPr>
          <w:rFonts w:hint="eastAsia" w:ascii="宋体" w:hAnsi="宋体" w:cs="宋体"/>
          <w:sz w:val="28"/>
          <w:szCs w:val="28"/>
        </w:rPr>
        <w:t>3</w:t>
      </w:r>
    </w:p>
    <w:p>
      <w:pPr>
        <w:pStyle w:val="12"/>
        <w:tabs>
          <w:tab w:val="right" w:leader="dot" w:pos="9060"/>
        </w:tabs>
        <w:spacing w:beforeLines="50" w:afterLines="50" w:line="360" w:lineRule="auto"/>
        <w:rPr>
          <w:rFonts w:ascii="宋体" w:hAnsi="宋体" w:cs="宋体"/>
          <w:sz w:val="28"/>
          <w:szCs w:val="28"/>
        </w:rPr>
      </w:pPr>
      <w:r>
        <w:fldChar w:fldCharType="begin"/>
      </w:r>
      <w:r>
        <w:instrText xml:space="preserve"> HYPERLINK \l "_Toc216420220" </w:instrText>
      </w:r>
      <w:r>
        <w:fldChar w:fldCharType="separate"/>
      </w:r>
      <w:r>
        <w:rPr>
          <w:rStyle w:val="17"/>
          <w:rFonts w:hint="eastAsia" w:ascii="宋体" w:hAnsi="宋体" w:cs="宋体"/>
          <w:color w:val="auto"/>
          <w:kern w:val="44"/>
          <w:sz w:val="28"/>
          <w:szCs w:val="28"/>
        </w:rPr>
        <w:t>第二章 投标人</w:t>
      </w:r>
      <w:bookmarkStart w:id="0" w:name="_Hlt247795663"/>
      <w:bookmarkStart w:id="1" w:name="_Hlt247795664"/>
      <w:r>
        <w:rPr>
          <w:rStyle w:val="17"/>
          <w:rFonts w:hint="eastAsia" w:ascii="宋体" w:hAnsi="宋体" w:cs="宋体"/>
          <w:color w:val="auto"/>
          <w:kern w:val="44"/>
          <w:sz w:val="28"/>
          <w:szCs w:val="28"/>
        </w:rPr>
        <w:t>须</w:t>
      </w:r>
      <w:bookmarkEnd w:id="0"/>
      <w:bookmarkEnd w:id="1"/>
      <w:r>
        <w:rPr>
          <w:rStyle w:val="17"/>
          <w:rFonts w:hint="eastAsia" w:ascii="宋体" w:hAnsi="宋体" w:cs="宋体"/>
          <w:color w:val="auto"/>
          <w:kern w:val="44"/>
          <w:sz w:val="28"/>
          <w:szCs w:val="28"/>
        </w:rPr>
        <w:t>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_Toc216420220 \h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fldChar w:fldCharType="end"/>
      </w:r>
    </w:p>
    <w:p>
      <w:pPr>
        <w:pStyle w:val="12"/>
        <w:tabs>
          <w:tab w:val="right" w:leader="dot" w:pos="9060"/>
        </w:tabs>
        <w:spacing w:beforeLines="50" w:afterLines="50" w:line="360" w:lineRule="auto"/>
        <w:rPr>
          <w:rFonts w:ascii="宋体" w:hAnsi="宋体" w:cs="宋体"/>
          <w:sz w:val="28"/>
          <w:szCs w:val="28"/>
        </w:rPr>
      </w:pPr>
      <w:r>
        <w:fldChar w:fldCharType="begin"/>
      </w:r>
      <w:r>
        <w:instrText xml:space="preserve"> HYPERLINK \l "_Toc216420222" </w:instrText>
      </w:r>
      <w:r>
        <w:fldChar w:fldCharType="separate"/>
      </w:r>
      <w:r>
        <w:rPr>
          <w:rStyle w:val="17"/>
          <w:rFonts w:hint="eastAsia" w:ascii="宋体" w:hAnsi="宋体" w:cs="宋体"/>
          <w:color w:val="auto"/>
          <w:kern w:val="44"/>
          <w:sz w:val="28"/>
          <w:szCs w:val="28"/>
        </w:rPr>
        <w:t>第三章 保</w:t>
      </w:r>
      <w:bookmarkStart w:id="2" w:name="_Hlt247297844"/>
      <w:r>
        <w:rPr>
          <w:rStyle w:val="17"/>
          <w:rFonts w:hint="eastAsia" w:ascii="宋体" w:hAnsi="宋体" w:cs="宋体"/>
          <w:color w:val="auto"/>
          <w:kern w:val="44"/>
          <w:sz w:val="28"/>
          <w:szCs w:val="28"/>
        </w:rPr>
        <w:t>险</w:t>
      </w:r>
      <w:bookmarkEnd w:id="2"/>
      <w:bookmarkStart w:id="3" w:name="_Hlt247288855"/>
      <w:r>
        <w:rPr>
          <w:rStyle w:val="17"/>
          <w:rFonts w:hint="eastAsia" w:ascii="宋体" w:hAnsi="宋体" w:cs="宋体"/>
          <w:color w:val="auto"/>
          <w:kern w:val="44"/>
          <w:sz w:val="28"/>
          <w:szCs w:val="28"/>
        </w:rPr>
        <w:t>方</w:t>
      </w:r>
      <w:bookmarkEnd w:id="3"/>
      <w:r>
        <w:rPr>
          <w:rStyle w:val="17"/>
          <w:rFonts w:hint="eastAsia" w:ascii="宋体" w:hAnsi="宋体" w:cs="宋体"/>
          <w:color w:val="auto"/>
          <w:kern w:val="44"/>
          <w:sz w:val="28"/>
          <w:szCs w:val="28"/>
        </w:rPr>
        <w:t>案</w:t>
      </w:r>
      <w:r>
        <w:rPr>
          <w:rFonts w:hint="eastAsia" w:ascii="宋体" w:hAnsi="宋体" w:cs="宋体"/>
          <w:sz w:val="28"/>
          <w:szCs w:val="28"/>
        </w:rPr>
        <w:tab/>
      </w:r>
      <w:r>
        <w:rPr>
          <w:rFonts w:hint="eastAsia" w:ascii="宋体" w:hAnsi="宋体" w:cs="宋体"/>
          <w:sz w:val="28"/>
          <w:szCs w:val="28"/>
        </w:rPr>
        <w:fldChar w:fldCharType="end"/>
      </w:r>
      <w:r>
        <w:rPr>
          <w:rFonts w:hint="eastAsia"/>
        </w:rPr>
        <w:t>9</w:t>
      </w:r>
    </w:p>
    <w:p>
      <w:pPr>
        <w:pStyle w:val="12"/>
        <w:tabs>
          <w:tab w:val="right" w:leader="dot" w:pos="9060"/>
        </w:tabs>
        <w:spacing w:beforeLines="50" w:afterLines="50" w:line="360" w:lineRule="auto"/>
        <w:rPr>
          <w:rFonts w:ascii="宋体" w:hAnsi="宋体" w:cs="宋体"/>
          <w:bCs/>
          <w:sz w:val="28"/>
          <w:szCs w:val="28"/>
        </w:rPr>
      </w:pPr>
      <w:r>
        <w:fldChar w:fldCharType="begin"/>
      </w:r>
      <w:r>
        <w:instrText xml:space="preserve"> HYPERLINK \l "_Toc216420223" </w:instrText>
      </w:r>
      <w:r>
        <w:fldChar w:fldCharType="separate"/>
      </w:r>
      <w:r>
        <w:rPr>
          <w:rStyle w:val="17"/>
          <w:rFonts w:hint="eastAsia" w:ascii="宋体" w:hAnsi="宋体" w:cs="宋体"/>
          <w:color w:val="auto"/>
          <w:kern w:val="44"/>
          <w:sz w:val="28"/>
          <w:szCs w:val="28"/>
        </w:rPr>
        <w:t>第四章 基本</w:t>
      </w:r>
      <w:bookmarkStart w:id="4" w:name="_Hlt216444711"/>
      <w:r>
        <w:rPr>
          <w:rStyle w:val="17"/>
          <w:rFonts w:hint="eastAsia" w:ascii="宋体" w:hAnsi="宋体" w:cs="宋体"/>
          <w:color w:val="auto"/>
          <w:kern w:val="44"/>
          <w:sz w:val="28"/>
          <w:szCs w:val="28"/>
        </w:rPr>
        <w:t>服</w:t>
      </w:r>
      <w:bookmarkEnd w:id="4"/>
      <w:r>
        <w:rPr>
          <w:rStyle w:val="17"/>
          <w:rFonts w:hint="eastAsia" w:ascii="宋体" w:hAnsi="宋体" w:cs="宋体"/>
          <w:color w:val="auto"/>
          <w:kern w:val="44"/>
          <w:sz w:val="28"/>
          <w:szCs w:val="28"/>
        </w:rPr>
        <w:t>务要求</w:t>
      </w:r>
      <w:r>
        <w:rPr>
          <w:rFonts w:hint="eastAsia" w:ascii="宋体" w:hAnsi="宋体" w:cs="宋体"/>
          <w:sz w:val="28"/>
          <w:szCs w:val="28"/>
        </w:rPr>
        <w:tab/>
      </w:r>
      <w:r>
        <w:rPr>
          <w:rFonts w:hint="eastAsia" w:ascii="宋体" w:hAnsi="宋体" w:cs="宋体"/>
          <w:sz w:val="28"/>
          <w:szCs w:val="28"/>
        </w:rPr>
        <w:fldChar w:fldCharType="end"/>
      </w:r>
      <w:r>
        <w:rPr>
          <w:rFonts w:hint="eastAsia"/>
        </w:rPr>
        <w:t>11</w:t>
      </w:r>
    </w:p>
    <w:p>
      <w:pPr>
        <w:ind w:firstLine="411" w:firstLineChars="147"/>
        <w:rPr>
          <w:rFonts w:ascii="宋体" w:hAnsi="宋体" w:cs="宋体"/>
          <w:bCs/>
          <w:sz w:val="28"/>
          <w:szCs w:val="28"/>
        </w:rPr>
      </w:pPr>
    </w:p>
    <w:p>
      <w:pPr>
        <w:pStyle w:val="3"/>
        <w:spacing w:beforeLines="50" w:afterLines="50" w:line="360" w:lineRule="auto"/>
        <w:ind w:left="200"/>
        <w:jc w:val="center"/>
        <w:rPr>
          <w:rStyle w:val="18"/>
          <w:rFonts w:ascii="宋体" w:hAnsi="宋体" w:cs="宋体"/>
          <w:b/>
          <w:sz w:val="32"/>
          <w:szCs w:val="32"/>
        </w:rPr>
      </w:pPr>
      <w:r>
        <w:rPr>
          <w:rFonts w:hint="eastAsia" w:ascii="宋体" w:hAnsi="宋体" w:eastAsia="宋体" w:cs="宋体"/>
          <w:b w:val="0"/>
          <w:sz w:val="28"/>
          <w:szCs w:val="28"/>
        </w:rPr>
        <w:fldChar w:fldCharType="end"/>
      </w:r>
      <w:r>
        <w:rPr>
          <w:rFonts w:hint="eastAsia" w:ascii="宋体" w:hAnsi="宋体" w:eastAsia="宋体" w:cs="宋体"/>
          <w:sz w:val="28"/>
          <w:szCs w:val="28"/>
        </w:rPr>
        <w:br w:type="page"/>
      </w:r>
      <w:bookmarkStart w:id="5" w:name="_Toc216420218"/>
      <w:r>
        <w:rPr>
          <w:rStyle w:val="18"/>
          <w:rFonts w:hint="eastAsia" w:ascii="宋体" w:hAnsi="宋体" w:cs="宋体"/>
          <w:b/>
          <w:sz w:val="32"/>
          <w:szCs w:val="32"/>
        </w:rPr>
        <w:t>第一章  招标</w:t>
      </w:r>
      <w:bookmarkEnd w:id="5"/>
      <w:r>
        <w:rPr>
          <w:rStyle w:val="18"/>
          <w:rFonts w:hint="eastAsia" w:ascii="宋体" w:hAnsi="宋体" w:cs="宋体"/>
          <w:b/>
          <w:sz w:val="32"/>
          <w:szCs w:val="32"/>
        </w:rPr>
        <w:t>公告</w:t>
      </w:r>
    </w:p>
    <w:p>
      <w:pPr>
        <w:pStyle w:val="4"/>
        <w:rPr>
          <w:rStyle w:val="18"/>
          <w:rFonts w:ascii="宋体" w:hAnsi="宋体" w:cs="宋体"/>
          <w:sz w:val="28"/>
          <w:szCs w:val="28"/>
        </w:rPr>
      </w:pPr>
    </w:p>
    <w:p>
      <w:pPr>
        <w:ind w:firstLine="544" w:firstLineChars="200"/>
        <w:rPr>
          <w:rFonts w:ascii="宋体" w:hAnsi="宋体" w:cs="宋体"/>
          <w:spacing w:val="-4"/>
          <w:sz w:val="28"/>
          <w:szCs w:val="28"/>
        </w:rPr>
      </w:pPr>
      <w:r>
        <w:rPr>
          <w:rFonts w:hint="eastAsia" w:ascii="宋体" w:hAnsi="宋体" w:cs="宋体"/>
          <w:spacing w:val="-4"/>
          <w:sz w:val="28"/>
          <w:szCs w:val="28"/>
        </w:rPr>
        <w:t>一、概况：我公司拟对“江都路(万福路-文昌路)雨污水管道及景观提升工程施工三标段”建筑工程一切险</w:t>
      </w:r>
      <w:r>
        <w:rPr>
          <w:rFonts w:ascii="宋体" w:hAnsi="宋体" w:cs="宋体"/>
          <w:spacing w:val="-4"/>
          <w:sz w:val="28"/>
          <w:szCs w:val="28"/>
        </w:rPr>
        <w:t>（含第三者责任险）</w:t>
      </w:r>
      <w:r>
        <w:rPr>
          <w:rFonts w:hint="eastAsia" w:ascii="宋体" w:hAnsi="宋体" w:cs="宋体"/>
          <w:spacing w:val="-4"/>
          <w:sz w:val="28"/>
          <w:szCs w:val="28"/>
        </w:rPr>
        <w:t>进行保险招标，该项目采用公开招标方式，择优选择承保公司。</w:t>
      </w:r>
    </w:p>
    <w:p>
      <w:pPr>
        <w:ind w:firstLine="570"/>
        <w:rPr>
          <w:rFonts w:ascii="宋体" w:hAnsi="宋体" w:cs="宋体"/>
          <w:spacing w:val="-4"/>
          <w:sz w:val="28"/>
          <w:szCs w:val="28"/>
        </w:rPr>
      </w:pPr>
      <w:r>
        <w:rPr>
          <w:rFonts w:hint="eastAsia" w:ascii="宋体" w:hAnsi="宋体" w:cs="宋体"/>
          <w:spacing w:val="-4"/>
          <w:sz w:val="28"/>
          <w:szCs w:val="28"/>
        </w:rPr>
        <w:t>投保人/被保险人：扬州市上善建设工程有限公司</w:t>
      </w:r>
    </w:p>
    <w:p>
      <w:pPr>
        <w:ind w:firstLine="570"/>
        <w:rPr>
          <w:rFonts w:ascii="宋体" w:hAnsi="宋体" w:cs="宋体"/>
          <w:spacing w:val="-4"/>
          <w:sz w:val="28"/>
          <w:szCs w:val="28"/>
        </w:rPr>
      </w:pPr>
      <w:r>
        <w:rPr>
          <w:rFonts w:hint="eastAsia" w:ascii="宋体" w:hAnsi="宋体" w:cs="宋体"/>
          <w:spacing w:val="-4"/>
          <w:sz w:val="28"/>
          <w:szCs w:val="28"/>
        </w:rPr>
        <w:t>二、招标险种：建筑工程一切险</w:t>
      </w:r>
      <w:r>
        <w:rPr>
          <w:rFonts w:ascii="宋体" w:hAnsi="宋体" w:cs="宋体"/>
          <w:spacing w:val="-4"/>
          <w:sz w:val="28"/>
          <w:szCs w:val="28"/>
        </w:rPr>
        <w:t>（含第三者责任险）</w:t>
      </w:r>
    </w:p>
    <w:p>
      <w:pPr>
        <w:ind w:firstLine="570"/>
        <w:rPr>
          <w:rFonts w:ascii="宋体" w:hAnsi="宋体" w:cs="宋体"/>
          <w:spacing w:val="-4"/>
          <w:sz w:val="28"/>
          <w:szCs w:val="28"/>
        </w:rPr>
      </w:pPr>
      <w:r>
        <w:rPr>
          <w:rFonts w:hint="eastAsia" w:ascii="宋体" w:hAnsi="宋体" w:cs="宋体"/>
          <w:spacing w:val="-4"/>
          <w:sz w:val="28"/>
          <w:szCs w:val="28"/>
        </w:rPr>
        <w:t>三、保险金额：3025.47万元</w:t>
      </w:r>
    </w:p>
    <w:p>
      <w:pPr>
        <w:ind w:firstLine="570"/>
        <w:rPr>
          <w:rFonts w:ascii="宋体" w:hAnsi="宋体" w:cs="宋体"/>
          <w:spacing w:val="-4"/>
          <w:sz w:val="28"/>
          <w:szCs w:val="28"/>
        </w:rPr>
      </w:pPr>
      <w:r>
        <w:rPr>
          <w:rFonts w:hint="eastAsia" w:ascii="宋体" w:hAnsi="宋体" w:cs="宋体"/>
          <w:spacing w:val="-4"/>
          <w:sz w:val="28"/>
          <w:szCs w:val="28"/>
        </w:rPr>
        <w:t>四、招标控制价：叁万叁仟元整（￥33000元）</w:t>
      </w:r>
    </w:p>
    <w:p>
      <w:pPr>
        <w:ind w:firstLine="570"/>
        <w:rPr>
          <w:rFonts w:ascii="宋体" w:hAnsi="宋体" w:cs="宋体"/>
          <w:sz w:val="28"/>
          <w:szCs w:val="28"/>
        </w:rPr>
      </w:pPr>
      <w:r>
        <w:rPr>
          <w:rFonts w:hint="eastAsia" w:ascii="宋体" w:hAnsi="宋体" w:cs="宋体"/>
          <w:sz w:val="28"/>
          <w:szCs w:val="28"/>
        </w:rPr>
        <w:t xml:space="preserve">五、投标截止时间： </w:t>
      </w:r>
      <w:r>
        <w:rPr>
          <w:rFonts w:hint="eastAsia" w:ascii="宋体" w:hAnsi="宋体" w:cs="宋体"/>
          <w:color w:val="000000" w:themeColor="text1"/>
          <w:sz w:val="28"/>
          <w:szCs w:val="28"/>
          <w14:textFill>
            <w14:solidFill>
              <w14:schemeClr w14:val="tx1"/>
            </w14:solidFill>
          </w14:textFill>
        </w:rPr>
        <w:t>2023年07月12日16:00（北</w:t>
      </w:r>
      <w:r>
        <w:rPr>
          <w:rFonts w:hint="eastAsia" w:ascii="宋体" w:hAnsi="宋体" w:cs="宋体"/>
          <w:sz w:val="28"/>
          <w:szCs w:val="28"/>
        </w:rPr>
        <w:t>京时间）</w:t>
      </w:r>
    </w:p>
    <w:p>
      <w:pPr>
        <w:ind w:firstLine="570"/>
        <w:rPr>
          <w:rFonts w:ascii="宋体" w:hAnsi="宋体" w:cs="宋体"/>
          <w:sz w:val="28"/>
          <w:szCs w:val="28"/>
        </w:rPr>
      </w:pPr>
      <w:r>
        <w:rPr>
          <w:rFonts w:hint="eastAsia" w:ascii="宋体" w:hAnsi="宋体" w:cs="宋体"/>
          <w:sz w:val="28"/>
          <w:szCs w:val="28"/>
        </w:rPr>
        <w:t>六、投递标书地点：</w:t>
      </w:r>
      <w:r>
        <w:rPr>
          <w:rFonts w:hint="eastAsia" w:ascii="宋体" w:hAnsi="宋体" w:cs="宋体"/>
          <w:color w:val="000000" w:themeColor="text1"/>
          <w:sz w:val="28"/>
          <w:szCs w:val="28"/>
          <w14:textFill>
            <w14:solidFill>
              <w14:schemeClr w14:val="tx1"/>
            </w14:solidFill>
          </w14:textFill>
        </w:rPr>
        <w:t>扬州市广陵区立新路14号</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ind w:left="561" w:leftChars="267" w:firstLine="2923" w:firstLineChars="1040"/>
        <w:rPr>
          <w:rFonts w:ascii="宋体" w:hAnsi="宋体" w:cs="宋体"/>
          <w:b/>
          <w:spacing w:val="-4"/>
          <w:sz w:val="28"/>
          <w:szCs w:val="28"/>
        </w:rPr>
      </w:pPr>
      <w:r>
        <w:rPr>
          <w:rFonts w:hint="eastAsia" w:ascii="宋体" w:hAnsi="宋体" w:cs="宋体"/>
          <w:b/>
          <w:sz w:val="28"/>
          <w:szCs w:val="28"/>
        </w:rPr>
        <w:t>招标人：</w:t>
      </w:r>
      <w:r>
        <w:rPr>
          <w:rFonts w:hint="eastAsia" w:ascii="宋体" w:hAnsi="宋体" w:cs="宋体"/>
          <w:b/>
          <w:spacing w:val="-4"/>
          <w:sz w:val="28"/>
          <w:szCs w:val="28"/>
        </w:rPr>
        <w:t>扬州市上善建设工程有限公司</w:t>
      </w:r>
    </w:p>
    <w:p>
      <w:pPr>
        <w:rPr>
          <w:rFonts w:ascii="宋体" w:hAnsi="宋体" w:cs="宋体"/>
          <w:b/>
          <w:spacing w:val="-4"/>
          <w:sz w:val="28"/>
          <w:szCs w:val="28"/>
        </w:rPr>
      </w:pPr>
    </w:p>
    <w:p>
      <w:pPr>
        <w:rPr>
          <w:rFonts w:ascii="宋体" w:hAnsi="宋体" w:cs="宋体"/>
          <w:b/>
          <w:sz w:val="28"/>
          <w:szCs w:val="28"/>
        </w:rPr>
      </w:pPr>
      <w:r>
        <w:rPr>
          <w:rFonts w:hint="eastAsia" w:ascii="宋体" w:hAnsi="宋体" w:cs="宋体"/>
          <w:b/>
          <w:spacing w:val="-4"/>
          <w:sz w:val="28"/>
          <w:szCs w:val="28"/>
        </w:rPr>
        <w:t xml:space="preserve">                                    2023年07月10日</w:t>
      </w:r>
    </w:p>
    <w:p>
      <w:pPr>
        <w:pStyle w:val="3"/>
        <w:spacing w:after="120"/>
        <w:jc w:val="center"/>
        <w:rPr>
          <w:rStyle w:val="18"/>
          <w:rFonts w:ascii="宋体" w:hAnsi="宋体" w:cs="宋体"/>
          <w:b/>
          <w:sz w:val="32"/>
          <w:szCs w:val="32"/>
        </w:rPr>
      </w:pPr>
      <w:r>
        <w:rPr>
          <w:rFonts w:hint="eastAsia" w:ascii="宋体" w:hAnsi="宋体" w:eastAsia="宋体" w:cs="宋体"/>
          <w:spacing w:val="-4"/>
          <w:sz w:val="28"/>
          <w:szCs w:val="28"/>
        </w:rPr>
        <w:br w:type="page"/>
      </w:r>
      <w:bookmarkStart w:id="6" w:name="_Toc216420220"/>
      <w:r>
        <w:rPr>
          <w:rStyle w:val="18"/>
          <w:rFonts w:hint="eastAsia" w:ascii="宋体" w:hAnsi="宋体" w:cs="宋体"/>
          <w:b/>
          <w:sz w:val="32"/>
          <w:szCs w:val="32"/>
        </w:rPr>
        <w:t>第二章  投标人须知</w:t>
      </w:r>
      <w:bookmarkEnd w:id="6"/>
    </w:p>
    <w:p>
      <w:pPr>
        <w:pStyle w:val="9"/>
        <w:spacing w:line="360" w:lineRule="auto"/>
        <w:ind w:firstLine="568" w:firstLineChars="202"/>
        <w:outlineLvl w:val="1"/>
        <w:rPr>
          <w:rFonts w:ascii="宋体" w:eastAsia="宋体" w:cs="宋体"/>
          <w:b/>
          <w:kern w:val="0"/>
          <w:szCs w:val="28"/>
        </w:rPr>
      </w:pPr>
      <w:r>
        <w:rPr>
          <w:rFonts w:hint="eastAsia" w:ascii="宋体" w:eastAsia="宋体" w:cs="宋体"/>
          <w:b/>
          <w:kern w:val="0"/>
          <w:szCs w:val="28"/>
        </w:rPr>
        <w:t>一、定义</w:t>
      </w:r>
    </w:p>
    <w:p>
      <w:pPr>
        <w:spacing w:line="360" w:lineRule="auto"/>
        <w:ind w:firstLine="565" w:firstLineChars="202"/>
        <w:rPr>
          <w:rFonts w:ascii="宋体" w:hAnsi="宋体" w:cs="宋体"/>
          <w:sz w:val="28"/>
          <w:szCs w:val="28"/>
        </w:rPr>
      </w:pPr>
      <w:r>
        <w:rPr>
          <w:rFonts w:hint="eastAsia" w:ascii="宋体" w:hAnsi="宋体" w:cs="宋体"/>
          <w:sz w:val="28"/>
          <w:szCs w:val="28"/>
        </w:rPr>
        <w:t>招标文件中下列术语应解释为：</w:t>
      </w:r>
    </w:p>
    <w:p>
      <w:pPr>
        <w:ind w:left="560"/>
        <w:rPr>
          <w:rFonts w:ascii="宋体" w:hAnsi="宋体" w:cs="宋体"/>
          <w:b/>
          <w:spacing w:val="-4"/>
          <w:sz w:val="28"/>
          <w:szCs w:val="28"/>
        </w:rPr>
      </w:pPr>
      <w:r>
        <w:rPr>
          <w:rFonts w:hint="eastAsia" w:ascii="宋体" w:hAnsi="宋体" w:cs="宋体"/>
          <w:b/>
          <w:sz w:val="28"/>
          <w:szCs w:val="28"/>
        </w:rPr>
        <w:t>（一）</w:t>
      </w:r>
      <w:r>
        <w:rPr>
          <w:rFonts w:hint="eastAsia" w:ascii="宋体" w:hAnsi="宋体" w:cs="宋体"/>
          <w:b/>
          <w:spacing w:val="-4"/>
          <w:sz w:val="28"/>
          <w:szCs w:val="28"/>
        </w:rPr>
        <w:t>“招标人”</w:t>
      </w:r>
      <w:r>
        <w:rPr>
          <w:rFonts w:hint="eastAsia" w:ascii="宋体" w:hAnsi="宋体" w:cs="宋体"/>
          <w:spacing w:val="-4"/>
          <w:sz w:val="28"/>
          <w:szCs w:val="28"/>
        </w:rPr>
        <w:t>，系指</w:t>
      </w:r>
      <w:r>
        <w:rPr>
          <w:rFonts w:hint="eastAsia" w:ascii="宋体" w:hAnsi="宋体" w:cs="宋体"/>
          <w:b/>
          <w:spacing w:val="-4"/>
          <w:sz w:val="28"/>
          <w:szCs w:val="28"/>
        </w:rPr>
        <w:t>扬州市上善建设工程有限公司</w:t>
      </w:r>
    </w:p>
    <w:p>
      <w:pPr>
        <w:ind w:left="560"/>
        <w:rPr>
          <w:rFonts w:ascii="宋体" w:hAnsi="宋体" w:cs="宋体"/>
          <w:spacing w:val="-4"/>
          <w:sz w:val="28"/>
          <w:szCs w:val="28"/>
        </w:rPr>
      </w:pPr>
      <w:r>
        <w:rPr>
          <w:rFonts w:hint="eastAsia" w:ascii="宋体" w:hAnsi="宋体" w:cs="宋体"/>
          <w:b/>
          <w:sz w:val="28"/>
          <w:szCs w:val="28"/>
        </w:rPr>
        <w:t>（二）</w:t>
      </w:r>
      <w:r>
        <w:rPr>
          <w:rFonts w:hint="eastAsia" w:ascii="宋体" w:hAnsi="宋体" w:cs="宋体"/>
          <w:b/>
          <w:spacing w:val="-4"/>
          <w:sz w:val="28"/>
          <w:szCs w:val="28"/>
        </w:rPr>
        <w:t>“投标人”</w:t>
      </w:r>
      <w:r>
        <w:rPr>
          <w:rFonts w:hint="eastAsia" w:ascii="宋体" w:hAnsi="宋体" w:cs="宋体"/>
          <w:spacing w:val="-4"/>
          <w:sz w:val="28"/>
          <w:szCs w:val="28"/>
        </w:rPr>
        <w:t>，系</w:t>
      </w:r>
      <w:r>
        <w:rPr>
          <w:rFonts w:hint="eastAsia" w:ascii="宋体" w:hAnsi="宋体" w:cs="宋体"/>
          <w:sz w:val="28"/>
          <w:szCs w:val="28"/>
        </w:rPr>
        <w:t>指接到扬州市上善建设工程有限公司招标通知，遵守招标文件要求，并向招标人提交</w:t>
      </w:r>
      <w:r>
        <w:rPr>
          <w:rFonts w:hint="eastAsia" w:ascii="宋体" w:hAnsi="宋体" w:cs="宋体"/>
          <w:spacing w:val="-4"/>
          <w:sz w:val="28"/>
          <w:szCs w:val="28"/>
        </w:rPr>
        <w:t>投标文件的市级财产保险公司。</w:t>
      </w:r>
    </w:p>
    <w:p>
      <w:pPr>
        <w:spacing w:line="360" w:lineRule="auto"/>
        <w:ind w:firstLine="568" w:firstLineChars="202"/>
        <w:outlineLvl w:val="2"/>
        <w:rPr>
          <w:rFonts w:ascii="宋体" w:hAnsi="宋体" w:cs="宋体"/>
          <w:b/>
          <w:sz w:val="28"/>
          <w:szCs w:val="28"/>
        </w:rPr>
      </w:pPr>
      <w:r>
        <w:rPr>
          <w:rFonts w:hint="eastAsia" w:ascii="宋体" w:hAnsi="宋体" w:cs="宋体"/>
          <w:b/>
          <w:sz w:val="28"/>
          <w:szCs w:val="28"/>
        </w:rPr>
        <w:t>二、招标内容</w:t>
      </w:r>
      <w:bookmarkStart w:id="7" w:name="_Toc215857424"/>
    </w:p>
    <w:bookmarkEnd w:id="7"/>
    <w:p>
      <w:pPr>
        <w:ind w:firstLine="570"/>
        <w:rPr>
          <w:rFonts w:ascii="宋体" w:hAnsi="宋体" w:cs="宋体"/>
          <w:spacing w:val="-4"/>
          <w:sz w:val="28"/>
          <w:szCs w:val="28"/>
        </w:rPr>
      </w:pPr>
      <w:bookmarkStart w:id="8" w:name="_Toc215857425"/>
      <w:r>
        <w:rPr>
          <w:rFonts w:hint="eastAsia" w:ascii="宋体" w:hAnsi="宋体" w:cs="宋体"/>
          <w:b/>
          <w:sz w:val="28"/>
          <w:szCs w:val="28"/>
        </w:rPr>
        <w:t>1、招标险种：</w:t>
      </w:r>
      <w:bookmarkEnd w:id="8"/>
      <w:bookmarkStart w:id="9" w:name="_Toc215857426"/>
      <w:r>
        <w:rPr>
          <w:rFonts w:hint="eastAsia" w:ascii="宋体" w:hAnsi="宋体" w:cs="宋体"/>
          <w:spacing w:val="-4"/>
          <w:sz w:val="28"/>
          <w:szCs w:val="28"/>
        </w:rPr>
        <w:t>建筑工程一切险</w:t>
      </w:r>
      <w:r>
        <w:rPr>
          <w:rFonts w:ascii="宋体" w:hAnsi="宋体" w:cs="宋体"/>
          <w:spacing w:val="-4"/>
          <w:sz w:val="28"/>
          <w:szCs w:val="28"/>
        </w:rPr>
        <w:t>（含第三者责任险）</w:t>
      </w:r>
    </w:p>
    <w:p>
      <w:pPr>
        <w:spacing w:line="360" w:lineRule="auto"/>
        <w:ind w:firstLine="568" w:firstLineChars="202"/>
        <w:outlineLvl w:val="2"/>
        <w:rPr>
          <w:rFonts w:ascii="宋体" w:hAnsi="宋体" w:cs="宋体"/>
          <w:sz w:val="28"/>
          <w:szCs w:val="28"/>
        </w:rPr>
      </w:pPr>
      <w:r>
        <w:rPr>
          <w:rFonts w:hint="eastAsia" w:ascii="宋体" w:hAnsi="宋体" w:cs="宋体"/>
          <w:b/>
          <w:sz w:val="28"/>
          <w:szCs w:val="28"/>
        </w:rPr>
        <w:t>2、招标项目要求：</w:t>
      </w:r>
      <w:r>
        <w:rPr>
          <w:rFonts w:hint="eastAsia" w:ascii="宋体" w:hAnsi="宋体" w:cs="宋体"/>
          <w:sz w:val="28"/>
          <w:szCs w:val="28"/>
        </w:rPr>
        <w:t>见招标文件第三章《保险方案》</w:t>
      </w:r>
      <w:bookmarkEnd w:id="9"/>
      <w:bookmarkStart w:id="10" w:name="_Toc215857427"/>
      <w:r>
        <w:rPr>
          <w:rFonts w:hint="eastAsia" w:ascii="宋体" w:hAnsi="宋体" w:cs="宋体"/>
          <w:sz w:val="28"/>
          <w:szCs w:val="28"/>
        </w:rPr>
        <w:t>。</w:t>
      </w:r>
    </w:p>
    <w:bookmarkEnd w:id="10"/>
    <w:p>
      <w:pPr>
        <w:pStyle w:val="6"/>
        <w:spacing w:line="360" w:lineRule="auto"/>
        <w:ind w:firstLine="568" w:firstLineChars="202"/>
        <w:outlineLvl w:val="1"/>
        <w:rPr>
          <w:rFonts w:ascii="宋体" w:hAnsi="宋体" w:cs="宋体"/>
          <w:b/>
          <w:sz w:val="28"/>
          <w:szCs w:val="28"/>
        </w:rPr>
      </w:pPr>
      <w:r>
        <w:rPr>
          <w:rFonts w:hint="eastAsia" w:ascii="宋体" w:hAnsi="宋体" w:cs="宋体"/>
          <w:b/>
          <w:sz w:val="28"/>
          <w:szCs w:val="28"/>
        </w:rPr>
        <w:t>三、合格的投标人</w:t>
      </w:r>
    </w:p>
    <w:p>
      <w:pPr>
        <w:tabs>
          <w:tab w:val="left" w:pos="0"/>
          <w:tab w:val="left" w:pos="525"/>
        </w:tabs>
        <w:spacing w:line="360" w:lineRule="auto"/>
        <w:ind w:firstLine="565" w:firstLineChars="202"/>
        <w:outlineLvl w:val="2"/>
        <w:rPr>
          <w:rFonts w:ascii="宋体" w:hAnsi="宋体" w:cs="宋体"/>
          <w:sz w:val="28"/>
          <w:szCs w:val="28"/>
        </w:rPr>
      </w:pPr>
      <w:r>
        <w:rPr>
          <w:rFonts w:hint="eastAsia" w:ascii="宋体" w:hAnsi="宋体" w:cs="宋体"/>
          <w:sz w:val="28"/>
          <w:szCs w:val="28"/>
        </w:rPr>
        <w:t>（一）投标人必须是经中国银行保险监督管理委员会（原中国保险监督管理委员会，以下简称“中国银保监会”）批准的，具有法定保险执业资格，并在扬州市区设有授权经营服务机构的财产保险公司；</w:t>
      </w:r>
    </w:p>
    <w:p>
      <w:pPr>
        <w:tabs>
          <w:tab w:val="left" w:pos="0"/>
          <w:tab w:val="left" w:pos="525"/>
        </w:tabs>
        <w:spacing w:line="360" w:lineRule="auto"/>
        <w:ind w:firstLine="565" w:firstLineChars="202"/>
        <w:outlineLvl w:val="2"/>
        <w:rPr>
          <w:rFonts w:ascii="宋体" w:hAnsi="宋体" w:cs="宋体"/>
          <w:sz w:val="28"/>
          <w:szCs w:val="28"/>
        </w:rPr>
      </w:pPr>
      <w:r>
        <w:rPr>
          <w:rFonts w:hint="eastAsia" w:ascii="宋体" w:hAnsi="宋体" w:cs="宋体"/>
          <w:sz w:val="28"/>
          <w:szCs w:val="28"/>
        </w:rPr>
        <w:t>（二）</w:t>
      </w:r>
      <w:r>
        <w:rPr>
          <w:rFonts w:hint="eastAsia" w:ascii="宋体" w:hAnsi="宋体" w:cs="宋体"/>
          <w:spacing w:val="-4"/>
          <w:sz w:val="28"/>
          <w:szCs w:val="28"/>
        </w:rPr>
        <w:t>具有独立承担扬州市上善建设工程有限公司保险业务能力；</w:t>
      </w:r>
    </w:p>
    <w:p>
      <w:pPr>
        <w:spacing w:line="360" w:lineRule="auto"/>
        <w:ind w:left="-19" w:leftChars="-9" w:firstLine="565" w:firstLineChars="202"/>
        <w:rPr>
          <w:rFonts w:ascii="宋体" w:hAnsi="宋体" w:cs="宋体"/>
          <w:spacing w:val="-4"/>
          <w:sz w:val="28"/>
          <w:szCs w:val="28"/>
        </w:rPr>
      </w:pPr>
      <w:r>
        <w:rPr>
          <w:rFonts w:hint="eastAsia" w:ascii="宋体" w:hAnsi="宋体" w:cs="宋体"/>
          <w:sz w:val="28"/>
          <w:szCs w:val="28"/>
        </w:rPr>
        <w:t>（三）</w:t>
      </w:r>
      <w:r>
        <w:rPr>
          <w:rFonts w:hint="eastAsia" w:ascii="宋体" w:hAnsi="宋体" w:cs="宋体"/>
          <w:spacing w:val="-4"/>
          <w:sz w:val="28"/>
          <w:szCs w:val="28"/>
        </w:rPr>
        <w:t>有良好的商业信誉和售后服务能力及措施；</w:t>
      </w:r>
    </w:p>
    <w:p>
      <w:pPr>
        <w:spacing w:line="360" w:lineRule="auto"/>
        <w:ind w:left="-19" w:leftChars="-9" w:firstLine="565" w:firstLineChars="202"/>
        <w:rPr>
          <w:rFonts w:ascii="宋体" w:hAnsi="宋体" w:cs="宋体"/>
          <w:spacing w:val="-4"/>
          <w:sz w:val="28"/>
          <w:szCs w:val="28"/>
        </w:rPr>
      </w:pPr>
      <w:r>
        <w:rPr>
          <w:rFonts w:hint="eastAsia" w:ascii="宋体" w:hAnsi="宋体" w:cs="宋体"/>
          <w:sz w:val="28"/>
          <w:szCs w:val="28"/>
        </w:rPr>
        <w:t>（四）</w:t>
      </w:r>
      <w:r>
        <w:rPr>
          <w:rFonts w:hint="eastAsia" w:ascii="宋体" w:hAnsi="宋体" w:cs="宋体"/>
          <w:spacing w:val="-4"/>
          <w:sz w:val="28"/>
          <w:szCs w:val="28"/>
        </w:rPr>
        <w:t>熟悉国家现行保险法、条例及有关保险行业特殊规定；</w:t>
      </w:r>
    </w:p>
    <w:p>
      <w:pPr>
        <w:spacing w:line="360" w:lineRule="auto"/>
        <w:ind w:left="-19" w:leftChars="-9" w:firstLine="565" w:firstLineChars="202"/>
        <w:rPr>
          <w:rFonts w:ascii="宋体" w:hAnsi="宋体" w:cs="宋体"/>
          <w:spacing w:val="-4"/>
          <w:sz w:val="28"/>
          <w:szCs w:val="28"/>
        </w:rPr>
      </w:pPr>
      <w:r>
        <w:rPr>
          <w:rFonts w:hint="eastAsia" w:ascii="宋体" w:hAnsi="宋体" w:cs="宋体"/>
          <w:sz w:val="28"/>
          <w:szCs w:val="28"/>
        </w:rPr>
        <w:t>（五）</w:t>
      </w:r>
      <w:r>
        <w:rPr>
          <w:rFonts w:hint="eastAsia" w:ascii="宋体" w:hAnsi="宋体" w:cs="宋体"/>
          <w:spacing w:val="-4"/>
          <w:sz w:val="28"/>
          <w:szCs w:val="28"/>
        </w:rPr>
        <w:t>经营、资格证件齐全；</w:t>
      </w:r>
    </w:p>
    <w:p>
      <w:pPr>
        <w:spacing w:line="360" w:lineRule="auto"/>
        <w:ind w:left="-19" w:leftChars="-9" w:firstLine="565" w:firstLineChars="202"/>
        <w:rPr>
          <w:rFonts w:ascii="宋体" w:hAnsi="宋体" w:cs="宋体"/>
          <w:spacing w:val="-4"/>
          <w:sz w:val="28"/>
          <w:szCs w:val="28"/>
        </w:rPr>
      </w:pPr>
      <w:r>
        <w:rPr>
          <w:rFonts w:hint="eastAsia" w:ascii="宋体" w:hAnsi="宋体" w:cs="宋体"/>
          <w:sz w:val="28"/>
          <w:szCs w:val="28"/>
        </w:rPr>
        <w:t>（六）具有良好征信记录，投标人</w:t>
      </w:r>
      <w:r>
        <w:rPr>
          <w:rFonts w:hint="eastAsia" w:ascii="宋体" w:hAnsi="宋体" w:cs="宋体"/>
          <w:spacing w:val="-4"/>
          <w:sz w:val="28"/>
          <w:szCs w:val="28"/>
        </w:rPr>
        <w:t>近三年未受到监管及政府相关部门处罚或投标单位负责人近五年未受到监管部门处罚；</w:t>
      </w:r>
    </w:p>
    <w:p>
      <w:pPr>
        <w:spacing w:line="360" w:lineRule="auto"/>
        <w:ind w:firstLine="565" w:firstLineChars="202"/>
        <w:rPr>
          <w:rFonts w:ascii="宋体" w:hAnsi="宋体" w:cs="宋体"/>
          <w:b/>
          <w:sz w:val="28"/>
          <w:szCs w:val="28"/>
        </w:rPr>
      </w:pPr>
      <w:r>
        <w:rPr>
          <w:rFonts w:hint="eastAsia" w:ascii="宋体" w:hAnsi="宋体" w:cs="宋体"/>
          <w:sz w:val="28"/>
          <w:szCs w:val="28"/>
        </w:rPr>
        <w:t>（七）上述任何一项缺失，即为无效投标人</w:t>
      </w:r>
      <w:r>
        <w:rPr>
          <w:rFonts w:hint="eastAsia" w:ascii="宋体" w:hAnsi="宋体" w:cs="宋体"/>
          <w:spacing w:val="-4"/>
          <w:sz w:val="28"/>
          <w:szCs w:val="28"/>
        </w:rPr>
        <w:t>。</w:t>
      </w:r>
    </w:p>
    <w:p>
      <w:pPr>
        <w:tabs>
          <w:tab w:val="left" w:pos="0"/>
          <w:tab w:val="left" w:pos="525"/>
        </w:tabs>
        <w:spacing w:line="360" w:lineRule="auto"/>
        <w:ind w:firstLine="568" w:firstLineChars="202"/>
        <w:outlineLvl w:val="1"/>
        <w:rPr>
          <w:rFonts w:ascii="宋体" w:hAnsi="宋体" w:cs="宋体"/>
          <w:b/>
          <w:sz w:val="28"/>
          <w:szCs w:val="28"/>
        </w:rPr>
      </w:pPr>
      <w:r>
        <w:rPr>
          <w:rFonts w:hint="eastAsia" w:ascii="宋体" w:hAnsi="宋体" w:cs="宋体"/>
          <w:b/>
          <w:sz w:val="28"/>
          <w:szCs w:val="28"/>
        </w:rPr>
        <w:t>四、招标文件的组成</w:t>
      </w:r>
    </w:p>
    <w:p>
      <w:pPr>
        <w:pStyle w:val="9"/>
        <w:spacing w:line="360" w:lineRule="auto"/>
        <w:ind w:firstLine="565" w:firstLineChars="202"/>
        <w:outlineLvl w:val="2"/>
        <w:rPr>
          <w:rFonts w:ascii="宋体" w:eastAsia="宋体" w:cs="宋体"/>
          <w:szCs w:val="28"/>
        </w:rPr>
      </w:pPr>
      <w:r>
        <w:rPr>
          <w:rFonts w:hint="eastAsia" w:ascii="宋体" w:eastAsia="宋体" w:cs="宋体"/>
          <w:szCs w:val="28"/>
        </w:rPr>
        <w:t>（一）第一章  招标公告</w:t>
      </w:r>
    </w:p>
    <w:p>
      <w:pPr>
        <w:pStyle w:val="9"/>
        <w:spacing w:line="360" w:lineRule="auto"/>
        <w:ind w:left="1" w:firstLine="565" w:firstLineChars="202"/>
        <w:outlineLvl w:val="2"/>
        <w:rPr>
          <w:rFonts w:ascii="宋体" w:eastAsia="宋体" w:cs="宋体"/>
          <w:szCs w:val="28"/>
        </w:rPr>
      </w:pPr>
      <w:r>
        <w:rPr>
          <w:rFonts w:hint="eastAsia" w:ascii="宋体" w:eastAsia="宋体" w:cs="宋体"/>
          <w:szCs w:val="28"/>
        </w:rPr>
        <w:t>（二）第二章  投标人须知</w:t>
      </w:r>
    </w:p>
    <w:p>
      <w:pPr>
        <w:pStyle w:val="6"/>
        <w:spacing w:line="360" w:lineRule="auto"/>
        <w:ind w:firstLine="565" w:firstLineChars="202"/>
        <w:outlineLvl w:val="2"/>
        <w:rPr>
          <w:rFonts w:ascii="宋体" w:hAnsi="宋体" w:cs="宋体"/>
          <w:sz w:val="28"/>
          <w:szCs w:val="28"/>
        </w:rPr>
      </w:pPr>
      <w:r>
        <w:rPr>
          <w:rFonts w:hint="eastAsia" w:ascii="宋体" w:hAnsi="宋体" w:cs="宋体"/>
          <w:sz w:val="28"/>
          <w:szCs w:val="28"/>
        </w:rPr>
        <w:t>（三）第三章  保险方案</w:t>
      </w:r>
    </w:p>
    <w:p>
      <w:pPr>
        <w:pStyle w:val="6"/>
        <w:spacing w:line="360" w:lineRule="auto"/>
        <w:ind w:firstLine="565" w:firstLineChars="202"/>
        <w:outlineLvl w:val="2"/>
        <w:rPr>
          <w:rFonts w:ascii="宋体" w:hAnsi="宋体" w:cs="宋体"/>
          <w:sz w:val="28"/>
          <w:szCs w:val="28"/>
        </w:rPr>
      </w:pPr>
      <w:r>
        <w:rPr>
          <w:rFonts w:hint="eastAsia" w:ascii="宋体" w:hAnsi="宋体" w:cs="宋体"/>
          <w:sz w:val="28"/>
          <w:szCs w:val="28"/>
        </w:rPr>
        <w:t>（四）第四章  基本服务要求</w:t>
      </w:r>
    </w:p>
    <w:p>
      <w:pPr>
        <w:pStyle w:val="6"/>
        <w:spacing w:line="360" w:lineRule="auto"/>
        <w:ind w:left="1" w:firstLine="565" w:firstLineChars="202"/>
        <w:outlineLvl w:val="2"/>
        <w:rPr>
          <w:rFonts w:ascii="宋体" w:hAnsi="宋体" w:cs="宋体"/>
          <w:sz w:val="28"/>
          <w:szCs w:val="28"/>
        </w:rPr>
      </w:pPr>
      <w:r>
        <w:rPr>
          <w:rFonts w:hint="eastAsia" w:ascii="宋体" w:hAnsi="宋体" w:cs="宋体"/>
          <w:sz w:val="28"/>
          <w:szCs w:val="28"/>
        </w:rPr>
        <w:t>（五）招标人发出的与本次招标有关的通知、修改、澄清及补充。</w:t>
      </w:r>
    </w:p>
    <w:p>
      <w:pPr>
        <w:pStyle w:val="6"/>
        <w:spacing w:line="360" w:lineRule="auto"/>
        <w:ind w:firstLine="568" w:firstLineChars="202"/>
        <w:outlineLvl w:val="2"/>
        <w:rPr>
          <w:rFonts w:ascii="宋体" w:hAnsi="宋体" w:cs="宋体"/>
          <w:b/>
          <w:sz w:val="28"/>
          <w:szCs w:val="28"/>
        </w:rPr>
      </w:pPr>
      <w:r>
        <w:rPr>
          <w:rFonts w:hint="eastAsia" w:ascii="宋体" w:hAnsi="宋体" w:cs="宋体"/>
          <w:b/>
          <w:sz w:val="28"/>
          <w:szCs w:val="28"/>
        </w:rPr>
        <w:t>五、招标文件的修改、澄清、解释</w:t>
      </w:r>
    </w:p>
    <w:p>
      <w:pPr>
        <w:pStyle w:val="6"/>
        <w:spacing w:line="360" w:lineRule="auto"/>
        <w:ind w:firstLine="565" w:firstLineChars="202"/>
        <w:outlineLvl w:val="2"/>
        <w:rPr>
          <w:rFonts w:ascii="宋体" w:hAnsi="宋体" w:cs="宋体"/>
          <w:sz w:val="28"/>
          <w:szCs w:val="28"/>
        </w:rPr>
      </w:pPr>
      <w:r>
        <w:rPr>
          <w:rFonts w:hint="eastAsia" w:ascii="宋体" w:hAnsi="宋体" w:cs="宋体"/>
          <w:sz w:val="28"/>
          <w:szCs w:val="28"/>
        </w:rPr>
        <w:t>（一）在投标文件截止日期前，招标人有权主动或在答复投标人提出的问题时对招标文件进行修改。招标文件的修改将以书面形式通知所有领取招标文件的投标人，并对投标人具有约束力，投标人在收到上述通知后应在规定时间内立即以书面形式向招标人回函确认。</w:t>
      </w:r>
    </w:p>
    <w:p>
      <w:pPr>
        <w:pStyle w:val="6"/>
        <w:spacing w:line="360" w:lineRule="auto"/>
        <w:ind w:firstLine="565" w:firstLineChars="202"/>
        <w:outlineLvl w:val="2"/>
        <w:rPr>
          <w:rFonts w:ascii="宋体" w:hAnsi="宋体" w:cs="宋体"/>
          <w:sz w:val="28"/>
          <w:szCs w:val="28"/>
        </w:rPr>
      </w:pPr>
      <w:r>
        <w:rPr>
          <w:rFonts w:hint="eastAsia" w:ascii="宋体" w:hAnsi="宋体" w:cs="宋体"/>
          <w:sz w:val="28"/>
          <w:szCs w:val="28"/>
        </w:rPr>
        <w:t>（二）为使投标人有充裕的时间对修改后的招标文件进行研究，招标人可酌情延长投标截止日期,并以书面形式通知所有已领取招标文件的投标人。</w:t>
      </w:r>
    </w:p>
    <w:p>
      <w:pPr>
        <w:pStyle w:val="6"/>
        <w:spacing w:line="360" w:lineRule="auto"/>
        <w:ind w:firstLine="565" w:firstLineChars="202"/>
        <w:outlineLvl w:val="2"/>
        <w:rPr>
          <w:rFonts w:ascii="宋体" w:hAnsi="宋体" w:cs="宋体"/>
          <w:sz w:val="28"/>
          <w:szCs w:val="28"/>
        </w:rPr>
      </w:pPr>
      <w:r>
        <w:rPr>
          <w:rFonts w:hint="eastAsia" w:ascii="宋体" w:hAnsi="宋体" w:cs="宋体"/>
          <w:sz w:val="28"/>
          <w:szCs w:val="28"/>
        </w:rPr>
        <w:t>（三）要求澄清招标文件的投标人应当以书面形式，向招标人提出申请，招标人将对投标截止日期1日前收到的申请予以答复，并将答复以书面形式通知所有招标文件收受人。</w:t>
      </w:r>
    </w:p>
    <w:p>
      <w:pPr>
        <w:pStyle w:val="6"/>
        <w:spacing w:line="360" w:lineRule="auto"/>
        <w:ind w:firstLine="568" w:firstLineChars="202"/>
        <w:outlineLvl w:val="2"/>
        <w:rPr>
          <w:rFonts w:ascii="宋体" w:hAnsi="宋体" w:cs="宋体"/>
          <w:b/>
          <w:sz w:val="28"/>
          <w:szCs w:val="28"/>
        </w:rPr>
      </w:pPr>
      <w:r>
        <w:rPr>
          <w:rFonts w:hint="eastAsia" w:ascii="宋体" w:hAnsi="宋体" w:cs="宋体"/>
          <w:b/>
          <w:sz w:val="28"/>
          <w:szCs w:val="28"/>
        </w:rPr>
        <w:t>六、投标文件的组成</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 公司介绍</w:t>
      </w:r>
    </w:p>
    <w:p>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 xml:space="preserve">2. 投标报价单（格式详见附件1） </w:t>
      </w:r>
    </w:p>
    <w:p>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3．承保服务方案（格式自拟）</w:t>
      </w:r>
    </w:p>
    <w:p>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4. 理赔服务方案（格式自拟）</w:t>
      </w:r>
    </w:p>
    <w:p>
      <w:pPr>
        <w:adjustRightInd w:val="0"/>
        <w:snapToGrid w:val="0"/>
        <w:spacing w:line="360" w:lineRule="auto"/>
        <w:ind w:firstLine="568" w:firstLineChars="202"/>
        <w:outlineLvl w:val="3"/>
        <w:rPr>
          <w:rFonts w:ascii="宋体" w:hAnsi="宋体" w:cs="宋体"/>
          <w:b/>
          <w:sz w:val="28"/>
          <w:szCs w:val="28"/>
        </w:rPr>
      </w:pPr>
      <w:bookmarkStart w:id="11" w:name="_Toc215857429"/>
      <w:r>
        <w:rPr>
          <w:rFonts w:hint="eastAsia" w:ascii="宋体" w:hAnsi="宋体" w:cs="宋体"/>
          <w:b/>
          <w:sz w:val="28"/>
          <w:szCs w:val="28"/>
        </w:rPr>
        <w:t>七、投标文件的编制、包装要求</w:t>
      </w:r>
    </w:p>
    <w:p>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（一）投标人应认真阅读招标文件，理解招标文件中所有的事项、格式、条款和规范等的要求。在完全理解招标文件的基础上，按招标文件格式要求编制投标文件。如果没有按照招标文件要求提交全</w:t>
      </w:r>
      <w:bookmarkEnd w:id="11"/>
      <w:bookmarkStart w:id="12" w:name="_Toc215857430"/>
      <w:r>
        <w:rPr>
          <w:rFonts w:hint="eastAsia" w:ascii="宋体" w:hAnsi="宋体" w:cs="宋体"/>
          <w:sz w:val="28"/>
          <w:szCs w:val="28"/>
        </w:rPr>
        <w:t>部资料或者投标文件，或没有对招标文件做出实质性响应，该投标有可能被拒绝，其风险应由投标人自行承担。</w:t>
      </w:r>
    </w:p>
    <w:p>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（二）投标文件正本和所有副本须用不褪色的墨水，并用A4纸张书写或打印，装订成册。投标文件中若有修改须由投标人的授权代表签字并加盖公章，</w:t>
      </w:r>
      <w:bookmarkEnd w:id="12"/>
      <w:bookmarkStart w:id="13" w:name="_Toc215857431"/>
      <w:r>
        <w:rPr>
          <w:rFonts w:hint="eastAsia" w:ascii="宋体" w:hAnsi="宋体" w:cs="宋体"/>
          <w:sz w:val="28"/>
          <w:szCs w:val="28"/>
        </w:rPr>
        <w:t>否则视为无效的修改。字迹潦草、表达不清、未按要求填写或可能导致非唯一理解的投标文件可能被定为废标。</w:t>
      </w:r>
    </w:p>
    <w:p>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（三）如果投标人没有按照招标文件要求提交全部资料或者投标文件没有</w:t>
      </w:r>
      <w:bookmarkEnd w:id="13"/>
      <w:bookmarkStart w:id="14" w:name="_Toc215857432"/>
      <w:r>
        <w:rPr>
          <w:rFonts w:hint="eastAsia" w:ascii="宋体" w:hAnsi="宋体" w:cs="宋体"/>
          <w:sz w:val="28"/>
          <w:szCs w:val="28"/>
        </w:rPr>
        <w:t>对招标文件做出实质性响应，在开标之后招标人没有再向投标人澄清的义务，同时投标人也没有再解释的权力。</w:t>
      </w:r>
    </w:p>
    <w:p>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（四）投标文件应按招标文件的规定，在必须加盖单位公章并由投标人的授权代表签字或盖章的地方，加盖单位公章并由投标人的授权代表签字或盖章</w:t>
      </w:r>
      <w:bookmarkEnd w:id="14"/>
      <w:bookmarkStart w:id="15" w:name="_Toc215857433"/>
      <w:r>
        <w:rPr>
          <w:rFonts w:hint="eastAsia" w:ascii="宋体" w:hAnsi="宋体" w:cs="宋体"/>
          <w:sz w:val="28"/>
          <w:szCs w:val="28"/>
        </w:rPr>
        <w:t>。</w:t>
      </w:r>
    </w:p>
    <w:p>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（五）投标人的投标文件以及投标人就有关投标的所有来往函电均应</w:t>
      </w:r>
      <w:bookmarkEnd w:id="15"/>
      <w:bookmarkStart w:id="16" w:name="_Toc215857434"/>
      <w:r>
        <w:rPr>
          <w:rFonts w:hint="eastAsia" w:ascii="宋体" w:hAnsi="宋体" w:cs="宋体"/>
          <w:sz w:val="28"/>
          <w:szCs w:val="28"/>
        </w:rPr>
        <w:t>使用中文。投标文件中所使用的计量单位除招标文件中有特殊规定外，一律使</w:t>
      </w:r>
      <w:bookmarkEnd w:id="16"/>
      <w:bookmarkStart w:id="17" w:name="_Toc215857435"/>
      <w:r>
        <w:rPr>
          <w:rFonts w:hint="eastAsia" w:ascii="宋体" w:hAnsi="宋体" w:cs="宋体"/>
          <w:sz w:val="28"/>
          <w:szCs w:val="28"/>
        </w:rPr>
        <w:t>用中华人民共和国法定计量单位。</w:t>
      </w:r>
    </w:p>
    <w:p>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（六）投标文</w:t>
      </w:r>
      <w:bookmarkEnd w:id="17"/>
      <w:bookmarkStart w:id="18" w:name="_Toc215857437"/>
      <w:r>
        <w:rPr>
          <w:rFonts w:hint="eastAsia" w:ascii="宋体" w:hAnsi="宋体" w:cs="宋体"/>
          <w:sz w:val="28"/>
          <w:szCs w:val="28"/>
        </w:rPr>
        <w:t>件应编写目录及标注页码。</w:t>
      </w:r>
    </w:p>
    <w:p>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（七）投标文件的份数：投标文件正本壹份。</w:t>
      </w:r>
    </w:p>
    <w:p>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八、投标</w:t>
      </w:r>
      <w:bookmarkEnd w:id="18"/>
      <w:bookmarkStart w:id="19" w:name="_Toc215857438"/>
      <w:r>
        <w:rPr>
          <w:rFonts w:hint="eastAsia" w:ascii="宋体" w:hAnsi="宋体" w:cs="宋体"/>
          <w:sz w:val="28"/>
          <w:szCs w:val="28"/>
        </w:rPr>
        <w:t>有效期及投标报价</w:t>
      </w:r>
      <w:bookmarkEnd w:id="19"/>
      <w:bookmarkStart w:id="20" w:name="_Toc215857439"/>
      <w:r>
        <w:rPr>
          <w:rFonts w:hint="eastAsia" w:ascii="宋体" w:hAnsi="宋体" w:cs="宋体"/>
          <w:sz w:val="28"/>
          <w:szCs w:val="28"/>
        </w:rPr>
        <w:t>有效期：投标有效期从提交投标文件截止日起30天内，投标报价有效期与投标有效期一致。</w:t>
      </w:r>
    </w:p>
    <w:bookmarkEnd w:id="20"/>
    <w:p>
      <w:pPr>
        <w:adjustRightInd w:val="0"/>
        <w:snapToGrid w:val="0"/>
        <w:spacing w:line="360" w:lineRule="auto"/>
        <w:ind w:firstLine="562"/>
        <w:outlineLvl w:val="3"/>
        <w:rPr>
          <w:rFonts w:ascii="宋体" w:hAnsi="宋体" w:cs="宋体"/>
          <w:sz w:val="28"/>
          <w:szCs w:val="28"/>
        </w:rPr>
      </w:pPr>
      <w:bookmarkStart w:id="21" w:name="_Toc215857444"/>
      <w:r>
        <w:rPr>
          <w:rFonts w:hint="eastAsia" w:ascii="宋体" w:hAnsi="宋体" w:cs="宋体"/>
          <w:sz w:val="28"/>
          <w:szCs w:val="28"/>
        </w:rPr>
        <w:t>九、</w:t>
      </w:r>
      <w:bookmarkEnd w:id="21"/>
      <w:r>
        <w:rPr>
          <w:rFonts w:hint="eastAsia" w:ascii="宋体" w:hAnsi="宋体" w:cs="宋体"/>
          <w:sz w:val="28"/>
          <w:szCs w:val="28"/>
        </w:rPr>
        <w:t>投</w:t>
      </w:r>
      <w:bookmarkStart w:id="22" w:name="_Toc215857445"/>
      <w:r>
        <w:rPr>
          <w:rFonts w:hint="eastAsia" w:ascii="宋体" w:hAnsi="宋体" w:cs="宋体"/>
          <w:sz w:val="28"/>
          <w:szCs w:val="28"/>
        </w:rPr>
        <w:t>标文件的递交</w:t>
      </w:r>
    </w:p>
    <w:p>
      <w:pPr>
        <w:adjustRightInd w:val="0"/>
        <w:snapToGrid w:val="0"/>
        <w:spacing w:line="360" w:lineRule="auto"/>
        <w:ind w:firstLine="560"/>
        <w:outlineLvl w:val="3"/>
        <w:rPr>
          <w:rFonts w:ascii="宋体" w:hAnsi="宋体" w:cs="宋体"/>
          <w:sz w:val="28"/>
          <w:szCs w:val="28"/>
        </w:rPr>
      </w:pPr>
      <w:r>
        <w:rPr>
          <w:rFonts w:hint="eastAsia" w:ascii="宋体" w:hAnsi="宋体" w:cs="宋体"/>
          <w:sz w:val="28"/>
          <w:szCs w:val="28"/>
        </w:rPr>
        <w:t>（一）投标人应严格按规定将投标文件密封，招标人拒绝接收任何未按规</w:t>
      </w:r>
      <w:bookmarkEnd w:id="22"/>
      <w:r>
        <w:rPr>
          <w:rFonts w:hint="eastAsia" w:ascii="宋体" w:hAnsi="宋体" w:cs="宋体"/>
          <w:sz w:val="28"/>
          <w:szCs w:val="28"/>
        </w:rPr>
        <w:t xml:space="preserve">定密封的投标文件。 </w:t>
      </w:r>
    </w:p>
    <w:p>
      <w:pPr>
        <w:adjustRightInd w:val="0"/>
        <w:snapToGrid w:val="0"/>
        <w:spacing w:line="360" w:lineRule="auto"/>
        <w:ind w:firstLine="560"/>
        <w:outlineLvl w:val="3"/>
        <w:rPr>
          <w:rFonts w:ascii="宋体" w:hAnsi="宋体" w:cs="宋体"/>
          <w:sz w:val="28"/>
          <w:szCs w:val="28"/>
        </w:rPr>
      </w:pPr>
      <w:r>
        <w:rPr>
          <w:rFonts w:hint="eastAsia" w:ascii="宋体" w:hAnsi="宋体" w:cs="宋体"/>
          <w:sz w:val="28"/>
          <w:szCs w:val="28"/>
        </w:rPr>
        <w:t>（二）投标人应在下述截标时间前将投标文件送达</w:t>
      </w:r>
      <w:bookmarkStart w:id="23" w:name="_Toc215857446"/>
      <w:r>
        <w:rPr>
          <w:rFonts w:hint="eastAsia" w:ascii="宋体" w:hAnsi="宋体" w:cs="宋体"/>
          <w:sz w:val="28"/>
          <w:szCs w:val="28"/>
        </w:rPr>
        <w:t>以下开标地点递交，逾期不予受理；投标人可于上善公司工程技术部咨询江都路三标相关工程信息。</w:t>
      </w:r>
    </w:p>
    <w:p>
      <w:pPr>
        <w:pStyle w:val="9"/>
        <w:adjustRightInd w:val="0"/>
        <w:snapToGrid w:val="0"/>
        <w:spacing w:line="360" w:lineRule="auto"/>
        <w:ind w:firstLine="840" w:firstLineChars="300"/>
        <w:rPr>
          <w:rFonts w:ascii="宋体" w:eastAsia="宋体" w:cs="宋体"/>
          <w:szCs w:val="28"/>
        </w:rPr>
      </w:pPr>
      <w:r>
        <w:rPr>
          <w:rFonts w:hint="eastAsia" w:ascii="宋体" w:eastAsia="宋体" w:cs="宋体"/>
          <w:szCs w:val="28"/>
        </w:rPr>
        <w:t>截标时间：2023年7</w:t>
      </w:r>
      <w:r>
        <w:rPr>
          <w:rFonts w:hint="eastAsia" w:ascii="宋体" w:eastAsia="宋体" w:cs="宋体"/>
          <w:color w:val="000000" w:themeColor="text1"/>
          <w:szCs w:val="28"/>
          <w14:textFill>
            <w14:solidFill>
              <w14:schemeClr w14:val="tx1"/>
            </w14:solidFill>
          </w14:textFill>
        </w:rPr>
        <w:t>月 12日</w:t>
      </w:r>
      <w:r>
        <w:rPr>
          <w:rFonts w:hint="eastAsia" w:ascii="宋体" w:eastAsia="宋体" w:cs="宋体"/>
          <w:szCs w:val="28"/>
        </w:rPr>
        <w:t>16:00（北京时间）</w:t>
      </w:r>
    </w:p>
    <w:p>
      <w:pPr>
        <w:pStyle w:val="9"/>
        <w:adjustRightInd w:val="0"/>
        <w:snapToGrid w:val="0"/>
        <w:spacing w:line="360" w:lineRule="auto"/>
        <w:ind w:firstLine="840" w:firstLineChars="300"/>
        <w:rPr>
          <w:rFonts w:ascii="宋体" w:eastAsia="宋体" w:cs="宋体"/>
          <w:szCs w:val="28"/>
        </w:rPr>
      </w:pPr>
      <w:r>
        <w:rPr>
          <w:rFonts w:hint="eastAsia" w:ascii="宋体" w:eastAsia="宋体" w:cs="宋体"/>
          <w:szCs w:val="28"/>
        </w:rPr>
        <w:t>地址：扬州市广陵区立新路14号</w:t>
      </w:r>
    </w:p>
    <w:p>
      <w:pPr>
        <w:pStyle w:val="9"/>
        <w:adjustRightInd w:val="0"/>
        <w:snapToGrid w:val="0"/>
        <w:spacing w:line="360" w:lineRule="auto"/>
        <w:ind w:firstLine="840" w:firstLineChars="300"/>
        <w:rPr>
          <w:rFonts w:ascii="宋体" w:eastAsia="宋体" w:cs="宋体"/>
          <w:szCs w:val="28"/>
        </w:rPr>
      </w:pPr>
      <w:r>
        <w:rPr>
          <w:rFonts w:hint="eastAsia" w:ascii="宋体" w:eastAsia="宋体" w:cs="宋体"/>
          <w:szCs w:val="28"/>
        </w:rPr>
        <w:t>联系人：上善公司安全质量部   梁  淼</w:t>
      </w:r>
    </w:p>
    <w:p>
      <w:pPr>
        <w:pStyle w:val="9"/>
        <w:adjustRightInd w:val="0"/>
        <w:snapToGrid w:val="0"/>
        <w:spacing w:line="360" w:lineRule="auto"/>
        <w:ind w:firstLine="840" w:firstLineChars="300"/>
        <w:rPr>
          <w:rFonts w:ascii="宋体" w:eastAsia="宋体" w:cs="宋体"/>
          <w:szCs w:val="28"/>
        </w:rPr>
      </w:pPr>
      <w:r>
        <w:rPr>
          <w:rFonts w:hint="eastAsia" w:ascii="宋体" w:eastAsia="宋体" w:cs="宋体"/>
          <w:szCs w:val="28"/>
        </w:rPr>
        <w:t>电  话：18952578258</w:t>
      </w:r>
    </w:p>
    <w:p>
      <w:pPr>
        <w:ind w:firstLine="57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开标地点：</w:t>
      </w:r>
      <w:bookmarkEnd w:id="23"/>
      <w:bookmarkStart w:id="24" w:name="_Toc215857448"/>
      <w:r>
        <w:rPr>
          <w:rFonts w:hint="eastAsia" w:ascii="宋体" w:hAnsi="宋体" w:cs="宋体"/>
          <w:color w:val="000000" w:themeColor="text1"/>
          <w:sz w:val="28"/>
          <w:szCs w:val="28"/>
          <w14:textFill>
            <w14:solidFill>
              <w14:schemeClr w14:val="tx1"/>
            </w14:solidFill>
          </w14:textFill>
        </w:rPr>
        <w:t>扬州市广陵区立新路14号</w:t>
      </w:r>
    </w:p>
    <w:p>
      <w:pPr>
        <w:pStyle w:val="9"/>
        <w:adjustRightInd w:val="0"/>
        <w:snapToGrid w:val="0"/>
        <w:spacing w:line="360" w:lineRule="auto"/>
        <w:ind w:firstLineChars="0"/>
        <w:rPr>
          <w:rFonts w:ascii="宋体" w:eastAsia="宋体" w:cs="宋体"/>
          <w:szCs w:val="28"/>
        </w:rPr>
      </w:pPr>
      <w:r>
        <w:rPr>
          <w:rFonts w:hint="eastAsia" w:ascii="宋体" w:eastAsia="宋体" w:cs="宋体"/>
          <w:szCs w:val="28"/>
        </w:rPr>
        <w:t>（三）招标人拒绝接收任何迟到的投标文件。</w:t>
      </w:r>
    </w:p>
    <w:p>
      <w:pPr>
        <w:pStyle w:val="9"/>
        <w:adjustRightInd w:val="0"/>
        <w:snapToGrid w:val="0"/>
        <w:spacing w:line="360" w:lineRule="auto"/>
        <w:ind w:firstLine="562" w:firstLineChars="0"/>
        <w:rPr>
          <w:rFonts w:ascii="宋体" w:eastAsia="宋体" w:cs="宋体"/>
          <w:szCs w:val="28"/>
        </w:rPr>
      </w:pPr>
      <w:r>
        <w:rPr>
          <w:rFonts w:hint="eastAsia" w:ascii="宋体" w:eastAsia="宋体" w:cs="宋体"/>
          <w:szCs w:val="28"/>
        </w:rPr>
        <w:t>十、投标价格</w:t>
      </w:r>
    </w:p>
    <w:p>
      <w:pPr>
        <w:pStyle w:val="9"/>
        <w:adjustRightInd w:val="0"/>
        <w:snapToGrid w:val="0"/>
        <w:spacing w:line="360" w:lineRule="auto"/>
        <w:ind w:firstLineChars="0"/>
        <w:rPr>
          <w:rFonts w:ascii="宋体" w:eastAsia="宋体" w:cs="宋体"/>
          <w:b/>
          <w:szCs w:val="28"/>
        </w:rPr>
      </w:pPr>
      <w:r>
        <w:rPr>
          <w:rFonts w:hint="eastAsia" w:ascii="宋体" w:eastAsia="宋体" w:cs="宋体"/>
          <w:szCs w:val="28"/>
        </w:rPr>
        <w:t>为便于</w:t>
      </w:r>
      <w:bookmarkEnd w:id="24"/>
      <w:bookmarkStart w:id="25" w:name="_Toc215857449"/>
      <w:r>
        <w:rPr>
          <w:rFonts w:hint="eastAsia" w:ascii="宋体" w:eastAsia="宋体" w:cs="宋体"/>
          <w:szCs w:val="28"/>
        </w:rPr>
        <w:t>开标，投标人应严格按照招标文件“投标报价表”的格式规定填写投标报价表。</w:t>
      </w:r>
    </w:p>
    <w:bookmarkEnd w:id="25"/>
    <w:p>
      <w:pPr>
        <w:pStyle w:val="9"/>
        <w:adjustRightInd w:val="0"/>
        <w:snapToGrid w:val="0"/>
        <w:spacing w:line="360" w:lineRule="auto"/>
        <w:ind w:firstLineChars="0"/>
        <w:rPr>
          <w:rFonts w:ascii="宋体" w:eastAsia="宋体" w:cs="宋体"/>
          <w:szCs w:val="28"/>
        </w:rPr>
      </w:pPr>
      <w:r>
        <w:rPr>
          <w:rFonts w:hint="eastAsia" w:ascii="宋体" w:eastAsia="宋体" w:cs="宋体"/>
          <w:szCs w:val="28"/>
        </w:rPr>
        <w:t>十一、</w:t>
      </w:r>
      <w:bookmarkStart w:id="26" w:name="_Toc216420222"/>
      <w:bookmarkStart w:id="27" w:name="_Toc216342221"/>
      <w:r>
        <w:rPr>
          <w:rFonts w:hint="eastAsia" w:ascii="宋体" w:eastAsia="宋体" w:cs="宋体"/>
          <w:szCs w:val="28"/>
        </w:rPr>
        <w:t>评标标准及方法</w:t>
      </w:r>
    </w:p>
    <w:p>
      <w:pPr>
        <w:pStyle w:val="9"/>
        <w:adjustRightInd w:val="0"/>
        <w:snapToGrid w:val="0"/>
        <w:spacing w:line="360" w:lineRule="auto"/>
        <w:ind w:firstLineChars="0"/>
        <w:rPr>
          <w:rFonts w:ascii="宋体" w:eastAsia="宋体" w:cs="宋体"/>
          <w:b/>
          <w:bCs/>
          <w:szCs w:val="28"/>
        </w:rPr>
      </w:pPr>
      <w:r>
        <w:rPr>
          <w:rFonts w:hint="eastAsia" w:ascii="宋体" w:eastAsia="宋体" w:cs="宋体"/>
          <w:szCs w:val="28"/>
        </w:rPr>
        <w:t>本项目</w:t>
      </w:r>
      <w:r>
        <w:rPr>
          <w:rFonts w:hint="eastAsia" w:ascii="宋体" w:eastAsia="宋体" w:cs="宋体"/>
          <w:b/>
          <w:bCs/>
          <w:szCs w:val="28"/>
        </w:rPr>
        <w:t>采用综合评分法</w:t>
      </w:r>
    </w:p>
    <w:tbl>
      <w:tblPr>
        <w:tblStyle w:val="14"/>
        <w:tblW w:w="5000" w:type="pct"/>
        <w:tblInd w:w="0" w:type="dxa"/>
        <w:tblLayout w:type="autofit"/>
        <w:tblCellMar>
          <w:top w:w="0" w:type="dxa"/>
          <w:left w:w="108" w:type="dxa"/>
          <w:bottom w:w="0" w:type="dxa"/>
          <w:right w:w="108" w:type="dxa"/>
        </w:tblCellMar>
      </w:tblPr>
      <w:tblGrid>
        <w:gridCol w:w="757"/>
        <w:gridCol w:w="419"/>
        <w:gridCol w:w="2787"/>
        <w:gridCol w:w="5493"/>
      </w:tblGrid>
      <w:tr>
        <w:tblPrEx>
          <w:tblCellMar>
            <w:top w:w="0" w:type="dxa"/>
            <w:left w:w="108" w:type="dxa"/>
            <w:bottom w:w="0" w:type="dxa"/>
            <w:right w:w="108" w:type="dxa"/>
          </w:tblCellMar>
        </w:tblPrEx>
        <w:trPr>
          <w:trHeight w:val="435" w:hRule="atLeast"/>
        </w:trPr>
        <w:tc>
          <w:tcPr>
            <w:tcW w:w="400"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方正黑体简体" w:hAnsi="宋体" w:eastAsia="方正黑体简体" w:cs="宋体"/>
                <w:b/>
                <w:bCs/>
              </w:rPr>
            </w:pPr>
            <w:r>
              <w:rPr>
                <w:rFonts w:hint="eastAsia" w:ascii="方正黑体简体" w:hAnsi="宋体" w:eastAsia="方正黑体简体" w:cs="宋体"/>
                <w:b/>
                <w:bCs/>
                <w:kern w:val="0"/>
                <w:sz w:val="20"/>
              </w:rPr>
              <w:t>评分维度</w:t>
            </w:r>
          </w:p>
        </w:tc>
        <w:tc>
          <w:tcPr>
            <w:tcW w:w="222" w:type="pct"/>
            <w:tcBorders>
              <w:top w:val="nil"/>
              <w:left w:val="nil"/>
              <w:bottom w:val="nil"/>
              <w:right w:val="single" w:color="auto" w:sz="4" w:space="0"/>
            </w:tcBorders>
            <w:shd w:val="clear" w:color="auto" w:fill="auto"/>
            <w:noWrap/>
            <w:vAlign w:val="center"/>
          </w:tcPr>
          <w:p>
            <w:pPr>
              <w:jc w:val="center"/>
              <w:rPr>
                <w:rFonts w:ascii="方正黑体简体" w:hAnsi="宋体" w:eastAsia="方正黑体简体" w:cs="宋体"/>
                <w:b/>
                <w:bCs/>
              </w:rPr>
            </w:pPr>
            <w:r>
              <w:rPr>
                <w:rFonts w:hint="eastAsia" w:ascii="方正黑体简体" w:hAnsi="宋体" w:eastAsia="方正黑体简体" w:cs="宋体"/>
                <w:b/>
                <w:bCs/>
                <w:kern w:val="0"/>
                <w:sz w:val="20"/>
              </w:rPr>
              <w:t>基准分</w:t>
            </w:r>
          </w:p>
        </w:tc>
        <w:tc>
          <w:tcPr>
            <w:tcW w:w="1474" w:type="pct"/>
            <w:tcBorders>
              <w:top w:val="nil"/>
              <w:left w:val="nil"/>
              <w:bottom w:val="nil"/>
              <w:right w:val="nil"/>
            </w:tcBorders>
            <w:shd w:val="clear" w:color="auto" w:fill="auto"/>
            <w:noWrap/>
            <w:vAlign w:val="center"/>
          </w:tcPr>
          <w:p>
            <w:pPr>
              <w:jc w:val="center"/>
              <w:rPr>
                <w:rFonts w:ascii="方正黑体简体" w:hAnsi="宋体" w:eastAsia="方正黑体简体" w:cs="宋体"/>
                <w:b/>
                <w:bCs/>
              </w:rPr>
            </w:pPr>
            <w:r>
              <w:rPr>
                <w:rFonts w:hint="eastAsia" w:ascii="方正黑体简体" w:hAnsi="宋体" w:eastAsia="方正黑体简体" w:cs="宋体"/>
                <w:b/>
                <w:bCs/>
                <w:kern w:val="0"/>
                <w:sz w:val="20"/>
              </w:rPr>
              <w:t>评分要素</w:t>
            </w:r>
          </w:p>
        </w:tc>
        <w:tc>
          <w:tcPr>
            <w:tcW w:w="2905" w:type="pct"/>
            <w:tcBorders>
              <w:top w:val="nil"/>
              <w:left w:val="nil"/>
              <w:bottom w:val="single" w:color="auto" w:sz="4" w:space="0"/>
              <w:right w:val="single" w:color="auto" w:sz="4" w:space="0"/>
            </w:tcBorders>
            <w:shd w:val="clear" w:color="auto" w:fill="auto"/>
            <w:noWrap/>
            <w:vAlign w:val="center"/>
          </w:tcPr>
          <w:p>
            <w:pPr>
              <w:jc w:val="center"/>
              <w:rPr>
                <w:rFonts w:ascii="方正黑体简体" w:hAnsi="宋体" w:eastAsia="方正黑体简体" w:cs="宋体"/>
                <w:b/>
                <w:bCs/>
              </w:rPr>
            </w:pPr>
            <w:r>
              <w:rPr>
                <w:rFonts w:hint="eastAsia" w:ascii="方正黑体简体" w:hAnsi="宋体" w:eastAsia="方正黑体简体" w:cs="宋体"/>
                <w:b/>
                <w:bCs/>
                <w:kern w:val="0"/>
                <w:sz w:val="20"/>
              </w:rPr>
              <w:t>评分规则/计算方法</w:t>
            </w:r>
          </w:p>
        </w:tc>
      </w:tr>
      <w:tr>
        <w:tblPrEx>
          <w:tblCellMar>
            <w:top w:w="0" w:type="dxa"/>
            <w:left w:w="108" w:type="dxa"/>
            <w:bottom w:w="0" w:type="dxa"/>
            <w:right w:w="108" w:type="dxa"/>
          </w:tblCellMar>
        </w:tblPrEx>
        <w:trPr>
          <w:trHeight w:val="510" w:hRule="atLeast"/>
        </w:trPr>
        <w:tc>
          <w:tcPr>
            <w:tcW w:w="400"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rPr>
            </w:pPr>
            <w:r>
              <w:rPr>
                <w:rFonts w:hint="eastAsia" w:ascii="宋体" w:hAnsi="宋体" w:cs="宋体"/>
                <w:kern w:val="0"/>
                <w:sz w:val="20"/>
              </w:rPr>
              <w:t>保险责任对应的</w:t>
            </w:r>
            <w:r>
              <w:rPr>
                <w:rFonts w:hint="eastAsia" w:ascii="宋体" w:hAnsi="宋体" w:cs="宋体"/>
                <w:kern w:val="0"/>
                <w:sz w:val="20"/>
              </w:rPr>
              <w:br w:type="textWrapping"/>
            </w:r>
            <w:r>
              <w:rPr>
                <w:rFonts w:hint="eastAsia" w:ascii="宋体" w:hAnsi="宋体" w:cs="宋体"/>
                <w:kern w:val="0"/>
                <w:sz w:val="20"/>
              </w:rPr>
              <w:t>报价得分</w:t>
            </w:r>
          </w:p>
        </w:tc>
        <w:tc>
          <w:tcPr>
            <w:tcW w:w="222"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rPr>
            </w:pPr>
            <w:r>
              <w:rPr>
                <w:rFonts w:hint="eastAsia" w:ascii="宋体" w:hAnsi="宋体" w:cs="宋体"/>
                <w:kern w:val="0"/>
                <w:sz w:val="20"/>
              </w:rPr>
              <w:t>50分</w:t>
            </w:r>
          </w:p>
        </w:tc>
        <w:tc>
          <w:tcPr>
            <w:tcW w:w="1474"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rPr>
            </w:pPr>
            <w:r>
              <w:rPr>
                <w:rFonts w:hint="eastAsia" w:ascii="宋体" w:hAnsi="宋体" w:cs="宋体"/>
                <w:kern w:val="0"/>
                <w:sz w:val="20"/>
              </w:rPr>
              <w:t>________________</w:t>
            </w:r>
          </w:p>
        </w:tc>
        <w:tc>
          <w:tcPr>
            <w:tcW w:w="2905" w:type="pct"/>
            <w:tcBorders>
              <w:top w:val="nil"/>
              <w:left w:val="nil"/>
              <w:bottom w:val="single" w:color="auto" w:sz="4" w:space="0"/>
              <w:right w:val="single" w:color="auto" w:sz="4" w:space="0"/>
            </w:tcBorders>
            <w:shd w:val="clear" w:color="auto" w:fill="auto"/>
            <w:noWrap/>
            <w:vAlign w:val="center"/>
          </w:tcPr>
          <w:p>
            <w:pPr>
              <w:rPr>
                <w:rFonts w:ascii="宋体" w:hAnsi="宋体" w:cs="宋体"/>
              </w:rPr>
            </w:pPr>
            <w:r>
              <w:rPr>
                <w:rFonts w:hint="eastAsia" w:ascii="宋体" w:hAnsi="宋体" w:cs="宋体"/>
                <w:kern w:val="0"/>
                <w:sz w:val="20"/>
              </w:rPr>
              <w:t>评审基准价为满足磋商采购文件要求的所有报价最低价(含增值税价计算)。</w:t>
            </w:r>
            <w:r>
              <w:rPr>
                <w:rFonts w:hint="eastAsia" w:ascii="宋体" w:hAnsi="宋体" w:cs="宋体"/>
                <w:kern w:val="0"/>
                <w:sz w:val="20"/>
              </w:rPr>
              <w:br w:type="textWrapping"/>
            </w:r>
            <w:r>
              <w:rPr>
                <w:rFonts w:hint="eastAsia" w:ascii="宋体" w:hAnsi="宋体" w:cs="宋体"/>
                <w:kern w:val="0"/>
                <w:sz w:val="20"/>
              </w:rPr>
              <w:t>报价得分=评审基准价/供应商报价×50分</w:t>
            </w:r>
          </w:p>
        </w:tc>
      </w:tr>
      <w:tr>
        <w:tblPrEx>
          <w:tblCellMar>
            <w:top w:w="0" w:type="dxa"/>
            <w:left w:w="108" w:type="dxa"/>
            <w:bottom w:w="0" w:type="dxa"/>
            <w:right w:w="108" w:type="dxa"/>
          </w:tblCellMar>
        </w:tblPrEx>
        <w:trPr>
          <w:trHeight w:val="720" w:hRule="atLeast"/>
        </w:trPr>
        <w:tc>
          <w:tcPr>
            <w:tcW w:w="400"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rPr>
            </w:pPr>
            <w:r>
              <w:rPr>
                <w:rFonts w:hint="eastAsia" w:ascii="宋体" w:hAnsi="宋体" w:cs="宋体"/>
                <w:kern w:val="0"/>
                <w:sz w:val="20"/>
              </w:rPr>
              <w:t>公司资质</w:t>
            </w:r>
          </w:p>
        </w:tc>
        <w:tc>
          <w:tcPr>
            <w:tcW w:w="222"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rPr>
            </w:pPr>
            <w:r>
              <w:rPr>
                <w:rFonts w:hint="eastAsia" w:ascii="宋体" w:hAnsi="宋体" w:cs="宋体"/>
                <w:kern w:val="0"/>
                <w:sz w:val="20"/>
              </w:rPr>
              <w:t>15分</w:t>
            </w:r>
          </w:p>
        </w:tc>
        <w:tc>
          <w:tcPr>
            <w:tcW w:w="1474"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rPr>
            </w:pPr>
            <w:r>
              <w:rPr>
                <w:rFonts w:hint="eastAsia" w:ascii="宋体" w:hAnsi="宋体" w:cs="宋体"/>
                <w:kern w:val="0"/>
                <w:sz w:val="20"/>
              </w:rPr>
              <w:t>公司资质和注册资本金等。（以总公司营业执照载明和注册资本金为准）</w:t>
            </w:r>
          </w:p>
        </w:tc>
        <w:tc>
          <w:tcPr>
            <w:tcW w:w="2905" w:type="pct"/>
            <w:tcBorders>
              <w:top w:val="nil"/>
              <w:left w:val="nil"/>
              <w:bottom w:val="single" w:color="auto" w:sz="4" w:space="0"/>
              <w:right w:val="single" w:color="auto" w:sz="4" w:space="0"/>
            </w:tcBorders>
            <w:shd w:val="clear" w:color="auto" w:fill="auto"/>
            <w:noWrap/>
            <w:vAlign w:val="center"/>
          </w:tcPr>
          <w:p>
            <w:pPr>
              <w:rPr>
                <w:rFonts w:ascii="宋体" w:hAnsi="宋体" w:cs="宋体"/>
              </w:rPr>
            </w:pPr>
            <w:r>
              <w:rPr>
                <w:rFonts w:hint="eastAsia" w:ascii="宋体" w:hAnsi="宋体" w:cs="宋体"/>
                <w:kern w:val="0"/>
                <w:sz w:val="20"/>
              </w:rPr>
              <w:t>经营资质：服务内容符合工商登记注册的经营范围；注册资本金：注册资本金的多少。</w:t>
            </w:r>
            <w:r>
              <w:rPr>
                <w:rFonts w:hint="eastAsia" w:ascii="宋体" w:hAnsi="宋体" w:cs="宋体"/>
                <w:kern w:val="0"/>
                <w:sz w:val="20"/>
              </w:rPr>
              <w:br w:type="textWrapping"/>
            </w:r>
            <w:r>
              <w:rPr>
                <w:rFonts w:hint="eastAsia" w:ascii="宋体" w:hAnsi="宋体" w:cs="宋体"/>
                <w:kern w:val="0"/>
                <w:sz w:val="20"/>
              </w:rPr>
              <w:t>200亿元以下得5分，200-250（含）亿元得10分，250亿元以上15分。</w:t>
            </w:r>
          </w:p>
        </w:tc>
      </w:tr>
      <w:tr>
        <w:tblPrEx>
          <w:tblCellMar>
            <w:top w:w="0" w:type="dxa"/>
            <w:left w:w="108" w:type="dxa"/>
            <w:bottom w:w="0" w:type="dxa"/>
            <w:right w:w="108" w:type="dxa"/>
          </w:tblCellMar>
        </w:tblPrEx>
        <w:trPr>
          <w:trHeight w:val="960" w:hRule="atLeast"/>
        </w:trPr>
        <w:tc>
          <w:tcPr>
            <w:tcW w:w="400"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rPr>
            </w:pPr>
            <w:r>
              <w:rPr>
                <w:rFonts w:hint="eastAsia" w:ascii="宋体" w:hAnsi="宋体" w:cs="宋体"/>
                <w:kern w:val="0"/>
                <w:sz w:val="20"/>
              </w:rPr>
              <w:t>综合偿付能力</w:t>
            </w:r>
          </w:p>
        </w:tc>
        <w:tc>
          <w:tcPr>
            <w:tcW w:w="222"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rPr>
            </w:pPr>
            <w:r>
              <w:rPr>
                <w:rFonts w:hint="eastAsia" w:ascii="宋体" w:hAnsi="宋体" w:cs="宋体"/>
                <w:kern w:val="0"/>
                <w:sz w:val="20"/>
              </w:rPr>
              <w:t>5分</w:t>
            </w:r>
          </w:p>
        </w:tc>
        <w:tc>
          <w:tcPr>
            <w:tcW w:w="1474"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rPr>
            </w:pPr>
            <w:r>
              <w:rPr>
                <w:rFonts w:hint="eastAsia" w:ascii="宋体" w:hAnsi="宋体" w:cs="宋体"/>
                <w:kern w:val="0"/>
                <w:sz w:val="20"/>
              </w:rPr>
              <w:t>总公司2022年末综合偿付能力充足率。（需提供经第三方审计的《偿付能力报告》）</w:t>
            </w:r>
          </w:p>
        </w:tc>
        <w:tc>
          <w:tcPr>
            <w:tcW w:w="2905" w:type="pct"/>
            <w:tcBorders>
              <w:top w:val="nil"/>
              <w:left w:val="nil"/>
              <w:bottom w:val="single" w:color="auto" w:sz="4" w:space="0"/>
              <w:right w:val="single" w:color="auto" w:sz="4" w:space="0"/>
            </w:tcBorders>
            <w:shd w:val="clear" w:color="auto" w:fill="auto"/>
            <w:noWrap/>
            <w:vAlign w:val="center"/>
          </w:tcPr>
          <w:p>
            <w:pPr>
              <w:rPr>
                <w:rFonts w:ascii="宋体" w:hAnsi="宋体" w:cs="宋体"/>
              </w:rPr>
            </w:pPr>
            <w:r>
              <w:rPr>
                <w:rFonts w:hint="eastAsia" w:ascii="宋体" w:hAnsi="宋体" w:cs="宋体"/>
                <w:kern w:val="0"/>
                <w:sz w:val="20"/>
              </w:rPr>
              <w:t>综合偿付能力高于250%（含）得5分、综合偿付能力240%（含）-250%的4分、</w:t>
            </w:r>
            <w:r>
              <w:rPr>
                <w:rFonts w:hint="eastAsia" w:ascii="宋体" w:hAnsi="宋体" w:cs="宋体"/>
                <w:kern w:val="0"/>
                <w:sz w:val="20"/>
              </w:rPr>
              <w:br w:type="textWrapping"/>
            </w:r>
            <w:r>
              <w:rPr>
                <w:rFonts w:hint="eastAsia" w:ascii="宋体" w:hAnsi="宋体" w:cs="宋体"/>
                <w:kern w:val="0"/>
                <w:sz w:val="20"/>
              </w:rPr>
              <w:t>综合偿付能力230%（含）-240%的3分、综合偿付能力220%（含）-230%的2分、</w:t>
            </w:r>
            <w:r>
              <w:rPr>
                <w:rFonts w:hint="eastAsia" w:ascii="宋体" w:hAnsi="宋体" w:cs="宋体"/>
                <w:kern w:val="0"/>
                <w:sz w:val="20"/>
              </w:rPr>
              <w:br w:type="textWrapping"/>
            </w:r>
            <w:r>
              <w:rPr>
                <w:rFonts w:hint="eastAsia" w:ascii="宋体" w:hAnsi="宋体" w:cs="宋体"/>
                <w:kern w:val="0"/>
                <w:sz w:val="20"/>
              </w:rPr>
              <w:t>综合偿付能力210%（含）-220%的1分、综合偿付能力低于210%得0分</w:t>
            </w:r>
          </w:p>
        </w:tc>
      </w:tr>
      <w:tr>
        <w:tblPrEx>
          <w:tblCellMar>
            <w:top w:w="0" w:type="dxa"/>
            <w:left w:w="108" w:type="dxa"/>
            <w:bottom w:w="0" w:type="dxa"/>
            <w:right w:w="108" w:type="dxa"/>
          </w:tblCellMar>
        </w:tblPrEx>
        <w:trPr>
          <w:trHeight w:val="735" w:hRule="atLeast"/>
        </w:trPr>
        <w:tc>
          <w:tcPr>
            <w:tcW w:w="400"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rPr>
            </w:pPr>
            <w:r>
              <w:rPr>
                <w:rFonts w:hint="eastAsia" w:ascii="宋体" w:hAnsi="宋体" w:cs="宋体"/>
                <w:kern w:val="0"/>
                <w:sz w:val="20"/>
              </w:rPr>
              <w:t>方案响应</w:t>
            </w:r>
          </w:p>
        </w:tc>
        <w:tc>
          <w:tcPr>
            <w:tcW w:w="222"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rPr>
            </w:pPr>
            <w:r>
              <w:rPr>
                <w:rFonts w:hint="eastAsia" w:ascii="宋体" w:hAnsi="宋体" w:cs="宋体"/>
                <w:kern w:val="0"/>
                <w:sz w:val="20"/>
              </w:rPr>
              <w:t>5分</w:t>
            </w:r>
          </w:p>
        </w:tc>
        <w:tc>
          <w:tcPr>
            <w:tcW w:w="1474"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rPr>
            </w:pPr>
            <w:r>
              <w:rPr>
                <w:rFonts w:hint="eastAsia" w:ascii="宋体" w:hAnsi="宋体" w:cs="宋体"/>
                <w:kern w:val="0"/>
                <w:sz w:val="20"/>
              </w:rPr>
              <w:t>提供针对本项目运行的响应方案，是否具有针对的项目管理、运行服务等规划方案等。</w:t>
            </w:r>
          </w:p>
        </w:tc>
        <w:tc>
          <w:tcPr>
            <w:tcW w:w="2905" w:type="pct"/>
            <w:tcBorders>
              <w:top w:val="nil"/>
              <w:left w:val="nil"/>
              <w:bottom w:val="single" w:color="auto" w:sz="4" w:space="0"/>
              <w:right w:val="single" w:color="auto" w:sz="4" w:space="0"/>
            </w:tcBorders>
            <w:shd w:val="clear" w:color="auto" w:fill="auto"/>
            <w:noWrap/>
            <w:vAlign w:val="center"/>
          </w:tcPr>
          <w:p>
            <w:pPr>
              <w:rPr>
                <w:rFonts w:ascii="宋体" w:hAnsi="宋体" w:cs="宋体"/>
              </w:rPr>
            </w:pPr>
            <w:r>
              <w:rPr>
                <w:rFonts w:hint="eastAsia" w:ascii="宋体" w:hAnsi="宋体" w:cs="宋体"/>
                <w:kern w:val="0"/>
                <w:sz w:val="20"/>
              </w:rPr>
              <w:t>根据提供的响应文件，是否符合招标文件要求，内容是否完整，资料是否齐全，。</w:t>
            </w:r>
            <w:r>
              <w:rPr>
                <w:rFonts w:hint="eastAsia" w:ascii="宋体" w:hAnsi="宋体" w:cs="宋体"/>
                <w:kern w:val="0"/>
                <w:sz w:val="20"/>
              </w:rPr>
              <w:br w:type="textWrapping"/>
            </w:r>
            <w:r>
              <w:rPr>
                <w:rFonts w:hint="eastAsia" w:ascii="宋体" w:hAnsi="宋体" w:cs="宋体"/>
                <w:kern w:val="0"/>
                <w:sz w:val="20"/>
              </w:rPr>
              <w:t>一般得1分，良好得2-3分，优秀4-5分。</w:t>
            </w:r>
          </w:p>
        </w:tc>
      </w:tr>
      <w:tr>
        <w:tblPrEx>
          <w:tblCellMar>
            <w:top w:w="0" w:type="dxa"/>
            <w:left w:w="108" w:type="dxa"/>
            <w:bottom w:w="0" w:type="dxa"/>
            <w:right w:w="108" w:type="dxa"/>
          </w:tblCellMar>
        </w:tblPrEx>
        <w:trPr>
          <w:trHeight w:val="1005" w:hRule="atLeast"/>
        </w:trPr>
        <w:tc>
          <w:tcPr>
            <w:tcW w:w="400"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rPr>
            </w:pPr>
            <w:r>
              <w:rPr>
                <w:rFonts w:hint="eastAsia" w:ascii="宋体" w:hAnsi="宋体" w:cs="宋体"/>
                <w:kern w:val="0"/>
                <w:sz w:val="20"/>
              </w:rPr>
              <w:t>理赔服务</w:t>
            </w:r>
          </w:p>
        </w:tc>
        <w:tc>
          <w:tcPr>
            <w:tcW w:w="222"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rPr>
            </w:pPr>
            <w:r>
              <w:rPr>
                <w:rFonts w:hint="eastAsia" w:ascii="宋体" w:hAnsi="宋体" w:cs="宋体"/>
                <w:kern w:val="0"/>
                <w:sz w:val="20"/>
              </w:rPr>
              <w:t>15分</w:t>
            </w:r>
          </w:p>
        </w:tc>
        <w:tc>
          <w:tcPr>
            <w:tcW w:w="1474" w:type="pct"/>
            <w:tcBorders>
              <w:top w:val="nil"/>
              <w:left w:val="nil"/>
              <w:bottom w:val="single" w:color="auto" w:sz="4" w:space="0"/>
              <w:right w:val="single" w:color="auto" w:sz="4" w:space="0"/>
            </w:tcBorders>
            <w:shd w:val="clear" w:color="auto" w:fill="auto"/>
            <w:noWrap/>
            <w:vAlign w:val="center"/>
          </w:tcPr>
          <w:p>
            <w:pPr>
              <w:rPr>
                <w:rFonts w:ascii="宋体" w:hAnsi="宋体" w:cs="宋体"/>
              </w:rPr>
            </w:pPr>
            <w:r>
              <w:rPr>
                <w:rFonts w:hint="eastAsia" w:ascii="宋体" w:hAnsi="宋体" w:cs="宋体"/>
                <w:kern w:val="0"/>
                <w:sz w:val="20"/>
              </w:rPr>
              <w:t>理赔方式是否包括线上自助理赔、理赔手续是否简化，理赔响应速度，结案时间。</w:t>
            </w:r>
          </w:p>
        </w:tc>
        <w:tc>
          <w:tcPr>
            <w:tcW w:w="2905" w:type="pct"/>
            <w:tcBorders>
              <w:top w:val="nil"/>
              <w:left w:val="nil"/>
              <w:bottom w:val="single" w:color="auto" w:sz="4" w:space="0"/>
              <w:right w:val="single" w:color="auto" w:sz="4" w:space="0"/>
            </w:tcBorders>
            <w:shd w:val="clear" w:color="auto" w:fill="auto"/>
            <w:noWrap/>
            <w:vAlign w:val="center"/>
          </w:tcPr>
          <w:p>
            <w:pPr>
              <w:rPr>
                <w:rFonts w:ascii="宋体" w:hAnsi="宋体" w:cs="宋体"/>
              </w:rPr>
            </w:pPr>
            <w:r>
              <w:rPr>
                <w:rFonts w:hint="eastAsia" w:ascii="宋体" w:hAnsi="宋体" w:cs="宋体"/>
                <w:kern w:val="0"/>
                <w:sz w:val="20"/>
              </w:rPr>
              <w:t>智能化程度：是否支持线上（手机app、微信等）申报、理赔、查询等。（5分）</w:t>
            </w:r>
            <w:r>
              <w:rPr>
                <w:rFonts w:hint="eastAsia" w:ascii="宋体" w:hAnsi="宋体" w:cs="宋体"/>
                <w:kern w:val="0"/>
                <w:sz w:val="20"/>
              </w:rPr>
              <w:br w:type="textWrapping"/>
            </w:r>
            <w:r>
              <w:rPr>
                <w:rFonts w:hint="eastAsia" w:ascii="宋体" w:hAnsi="宋体" w:cs="宋体"/>
                <w:kern w:val="0"/>
                <w:sz w:val="20"/>
              </w:rPr>
              <w:t>理赔时效：理赔资料齐全无需调查的案件的理赔时间。按理赔时间长短获取相应的分值,理赔结案时间最短为第一名得10分、次之第二名得5分、理赔时间最长为第三名得1分。</w:t>
            </w:r>
          </w:p>
        </w:tc>
      </w:tr>
      <w:tr>
        <w:tblPrEx>
          <w:tblCellMar>
            <w:top w:w="0" w:type="dxa"/>
            <w:left w:w="108" w:type="dxa"/>
            <w:bottom w:w="0" w:type="dxa"/>
            <w:right w:w="108" w:type="dxa"/>
          </w:tblCellMar>
        </w:tblPrEx>
        <w:trPr>
          <w:trHeight w:val="480" w:hRule="atLeast"/>
        </w:trPr>
        <w:tc>
          <w:tcPr>
            <w:tcW w:w="400"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rPr>
            </w:pPr>
            <w:r>
              <w:rPr>
                <w:rFonts w:hint="eastAsia" w:ascii="宋体" w:hAnsi="宋体" w:cs="宋体"/>
                <w:kern w:val="0"/>
                <w:sz w:val="20"/>
              </w:rPr>
              <w:t>其他增值服务项目</w:t>
            </w:r>
          </w:p>
        </w:tc>
        <w:tc>
          <w:tcPr>
            <w:tcW w:w="2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rPr>
            </w:pPr>
            <w:r>
              <w:rPr>
                <w:rFonts w:hint="eastAsia" w:ascii="宋体" w:hAnsi="宋体" w:cs="宋体"/>
                <w:kern w:val="0"/>
                <w:sz w:val="20"/>
              </w:rPr>
              <w:t>10分</w:t>
            </w:r>
          </w:p>
        </w:tc>
        <w:tc>
          <w:tcPr>
            <w:tcW w:w="147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rPr>
            </w:pPr>
            <w:r>
              <w:rPr>
                <w:rFonts w:hint="eastAsia" w:ascii="宋体" w:hAnsi="宋体" w:cs="宋体"/>
                <w:kern w:val="0"/>
                <w:sz w:val="20"/>
              </w:rPr>
              <w:t>________________</w:t>
            </w:r>
          </w:p>
        </w:tc>
        <w:tc>
          <w:tcPr>
            <w:tcW w:w="2905"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rPr>
            </w:pPr>
            <w:r>
              <w:rPr>
                <w:rFonts w:hint="eastAsia" w:ascii="宋体" w:hAnsi="宋体" w:cs="宋体"/>
                <w:kern w:val="0"/>
                <w:sz w:val="20"/>
              </w:rPr>
              <w:t>1.每增加1项增值服务得1分。（5分）</w:t>
            </w:r>
            <w:r>
              <w:rPr>
                <w:rFonts w:hint="eastAsia" w:ascii="宋体" w:hAnsi="宋体" w:cs="宋体"/>
                <w:kern w:val="0"/>
                <w:sz w:val="20"/>
              </w:rPr>
              <w:br w:type="textWrapping"/>
            </w:r>
            <w:r>
              <w:rPr>
                <w:rFonts w:hint="eastAsia" w:ascii="宋体" w:hAnsi="宋体" w:cs="宋体"/>
                <w:kern w:val="0"/>
                <w:sz w:val="20"/>
              </w:rPr>
              <w:t>2.根据增值服务的操作简便程度、适用范围大小、保障内容优劣等进行综合评价（5分）。</w:t>
            </w:r>
            <w:r>
              <w:rPr>
                <w:rFonts w:hint="eastAsia" w:ascii="宋体" w:hAnsi="宋体" w:cs="宋体"/>
                <w:kern w:val="0"/>
                <w:sz w:val="20"/>
              </w:rPr>
              <w:br w:type="textWrapping"/>
            </w:r>
            <w:r>
              <w:rPr>
                <w:rFonts w:hint="eastAsia" w:ascii="宋体" w:hAnsi="宋体" w:cs="宋体"/>
                <w:kern w:val="0"/>
                <w:sz w:val="20"/>
              </w:rPr>
              <w:t>一般得1分，良好得3分，优秀5分。</w:t>
            </w:r>
            <w:r>
              <w:rPr>
                <w:rFonts w:hint="eastAsia" w:ascii="宋体" w:hAnsi="宋体" w:cs="宋体"/>
                <w:kern w:val="0"/>
                <w:sz w:val="20"/>
              </w:rPr>
              <w:br w:type="textWrapping"/>
            </w:r>
          </w:p>
        </w:tc>
      </w:tr>
    </w:tbl>
    <w:p/>
    <w:p>
      <w:pPr>
        <w:spacing w:line="440" w:lineRule="exact"/>
        <w:ind w:firstLine="566"/>
        <w:rPr>
          <w:rFonts w:ascii="宋体" w:hAnsi="宋体" w:cs="Arial"/>
          <w:color w:val="000000"/>
          <w:sz w:val="28"/>
          <w:highlight w:val="white"/>
        </w:rPr>
      </w:pPr>
      <w:r>
        <w:rPr>
          <w:rFonts w:hint="eastAsia" w:ascii="宋体" w:hAnsi="宋体" w:cs="Arial"/>
          <w:color w:val="000000"/>
          <w:sz w:val="28"/>
          <w:highlight w:val="white"/>
        </w:rPr>
        <w:t>十二、定标</w:t>
      </w:r>
    </w:p>
    <w:p>
      <w:pPr>
        <w:tabs>
          <w:tab w:val="left" w:pos="2127"/>
        </w:tabs>
        <w:adjustRightInd w:val="0"/>
        <w:snapToGrid w:val="0"/>
        <w:spacing w:line="440" w:lineRule="exact"/>
        <w:ind w:firstLine="560"/>
        <w:rPr>
          <w:rFonts w:ascii="宋体" w:hAnsi="宋体" w:cs="Arial"/>
          <w:color w:val="000000"/>
          <w:sz w:val="28"/>
          <w:highlight w:val="white"/>
        </w:rPr>
      </w:pPr>
      <w:r>
        <w:rPr>
          <w:rFonts w:hint="eastAsia" w:ascii="宋体" w:hAnsi="宋体" w:cs="Arial"/>
          <w:color w:val="000000"/>
          <w:sz w:val="28"/>
          <w:highlight w:val="white"/>
        </w:rPr>
        <w:t>1、评标委员会完成评标后，应当向招标人提出书面评标报告，阐明评标委员会对各投标文件的评审和比较意见，并按照招标文件中规定的评标方法，推荐3名有排序的合格中标候选人。</w:t>
      </w:r>
    </w:p>
    <w:p>
      <w:pPr>
        <w:spacing w:line="440" w:lineRule="exact"/>
        <w:ind w:firstLine="566"/>
        <w:rPr>
          <w:rFonts w:ascii="宋体" w:hAnsi="宋体" w:cs="Arial"/>
          <w:color w:val="000000"/>
          <w:sz w:val="28"/>
          <w:highlight w:val="white"/>
        </w:rPr>
      </w:pPr>
      <w:r>
        <w:rPr>
          <w:rFonts w:hint="eastAsia" w:ascii="宋体" w:hAnsi="宋体" w:cs="Arial"/>
          <w:color w:val="000000"/>
          <w:sz w:val="28"/>
          <w:highlight w:val="white"/>
        </w:rPr>
        <w:t>2、排序原则：</w:t>
      </w:r>
    </w:p>
    <w:p>
      <w:pPr>
        <w:spacing w:line="440" w:lineRule="exact"/>
        <w:ind w:firstLine="566"/>
        <w:rPr>
          <w:rFonts w:ascii="宋体" w:hAnsi="宋体" w:cs="Arial"/>
          <w:color w:val="000000"/>
          <w:sz w:val="28"/>
          <w:highlight w:val="white"/>
        </w:rPr>
      </w:pPr>
      <w:bookmarkStart w:id="28" w:name="EBf789983cee30437ab035183346e9fc54"/>
      <w:r>
        <w:rPr>
          <w:rFonts w:hint="eastAsia" w:ascii="宋体" w:hAnsi="宋体" w:cs="Arial"/>
          <w:color w:val="000000"/>
          <w:sz w:val="28"/>
          <w:highlight w:val="white"/>
        </w:rPr>
        <w:t>（1）按评分分数高低从高到低进行排序；</w:t>
      </w:r>
    </w:p>
    <w:p>
      <w:pPr>
        <w:spacing w:line="440" w:lineRule="exact"/>
        <w:ind w:firstLine="566"/>
        <w:rPr>
          <w:rFonts w:ascii="宋体" w:hAnsi="宋体" w:cs="Arial"/>
          <w:color w:val="000000"/>
          <w:sz w:val="28"/>
          <w:highlight w:val="white"/>
        </w:rPr>
      </w:pPr>
      <w:r>
        <w:rPr>
          <w:rFonts w:hint="eastAsia" w:ascii="宋体" w:hAnsi="宋体" w:cs="Arial"/>
          <w:color w:val="000000"/>
          <w:sz w:val="28"/>
          <w:highlight w:val="white"/>
        </w:rPr>
        <w:t>（2）当评分分数相同时，由评标委员会决定</w:t>
      </w:r>
      <w:bookmarkEnd w:id="28"/>
      <w:r>
        <w:rPr>
          <w:rFonts w:hint="eastAsia" w:ascii="宋体" w:hAnsi="宋体" w:cs="Arial"/>
          <w:color w:val="000000"/>
          <w:sz w:val="28"/>
          <w:highlight w:val="white"/>
        </w:rPr>
        <w:t>。</w:t>
      </w:r>
    </w:p>
    <w:p>
      <w:pPr>
        <w:spacing w:line="440" w:lineRule="exact"/>
        <w:ind w:firstLine="566"/>
        <w:rPr>
          <w:rFonts w:ascii="宋体" w:hAnsi="宋体" w:cs="Arial"/>
          <w:color w:val="000000"/>
          <w:sz w:val="28"/>
          <w:highlight w:val="white"/>
        </w:rPr>
      </w:pPr>
      <w:r>
        <w:rPr>
          <w:rFonts w:hint="eastAsia" w:ascii="宋体" w:hAnsi="宋体" w:cs="Arial"/>
          <w:color w:val="000000"/>
          <w:sz w:val="28"/>
          <w:highlight w:val="white"/>
        </w:rPr>
        <w:t>3、确定中标人的原则：招标人按照评委会的书面评标报告中的中标候选人排序，确定排名第一的为中标人。当排名第一的中标候选人放弃中标、因不可抗力提出不能履行合同，招标人可以确定排名第二的中标候选人为中标人；排名第二的中标候选人因同样的原因不能签订合同的，招标人可以确定排名第三的中标候选人为中标人</w:t>
      </w:r>
    </w:p>
    <w:p>
      <w:pPr>
        <w:spacing w:line="440" w:lineRule="exact"/>
        <w:ind w:firstLine="566"/>
        <w:rPr>
          <w:rFonts w:ascii="宋体" w:hAnsi="宋体" w:cs="Arial"/>
          <w:color w:val="000000"/>
          <w:sz w:val="28"/>
          <w:highlight w:val="white"/>
        </w:rPr>
      </w:pPr>
      <w:r>
        <w:rPr>
          <w:rFonts w:hint="eastAsia" w:ascii="宋体" w:hAnsi="宋体" w:cs="Arial"/>
          <w:color w:val="000000"/>
          <w:sz w:val="28"/>
          <w:highlight w:val="white"/>
        </w:rPr>
        <w:t>十三、合同付款方式</w:t>
      </w:r>
    </w:p>
    <w:p>
      <w:pPr>
        <w:spacing w:line="440" w:lineRule="exact"/>
        <w:ind w:firstLine="566"/>
        <w:rPr>
          <w:rFonts w:ascii="宋体" w:hAnsi="宋体" w:cs="Arial"/>
          <w:color w:val="000000"/>
          <w:sz w:val="28"/>
          <w:highlight w:val="white"/>
        </w:rPr>
      </w:pPr>
      <w:r>
        <w:rPr>
          <w:rFonts w:hint="eastAsia" w:ascii="宋体" w:hAnsi="宋体" w:cs="Arial"/>
          <w:color w:val="000000"/>
          <w:sz w:val="28"/>
          <w:highlight w:val="white"/>
        </w:rPr>
        <w:t>当年合同签订后即付当年保险费，乙方在每次结算时需提供甲方认可的增值税发票。</w:t>
      </w:r>
    </w:p>
    <w:p>
      <w:pPr>
        <w:spacing w:line="440" w:lineRule="exact"/>
        <w:ind w:firstLine="566"/>
        <w:rPr>
          <w:rFonts w:ascii="宋体" w:hAnsi="宋体" w:cs="Arial"/>
          <w:color w:val="000000"/>
          <w:sz w:val="28"/>
          <w:highlight w:val="white"/>
        </w:rPr>
      </w:pPr>
    </w:p>
    <w:bookmarkEnd w:id="26"/>
    <w:bookmarkEnd w:id="27"/>
    <w:p>
      <w:pPr>
        <w:spacing w:line="440" w:lineRule="exact"/>
        <w:ind w:firstLine="566"/>
        <w:jc w:val="center"/>
        <w:rPr>
          <w:rStyle w:val="18"/>
          <w:rFonts w:ascii="宋体" w:hAnsi="宋体" w:cs="宋体"/>
          <w:bCs/>
          <w:sz w:val="32"/>
          <w:szCs w:val="32"/>
        </w:rPr>
      </w:pPr>
      <w:r>
        <w:rPr>
          <w:rStyle w:val="18"/>
          <w:rFonts w:hint="eastAsia" w:ascii="宋体" w:hAnsi="宋体" w:cs="宋体"/>
          <w:b w:val="0"/>
          <w:sz w:val="28"/>
          <w:szCs w:val="28"/>
        </w:rPr>
        <w:br w:type="page"/>
      </w:r>
      <w:r>
        <w:rPr>
          <w:rStyle w:val="18"/>
          <w:rFonts w:hint="eastAsia" w:ascii="宋体" w:hAnsi="宋体" w:cs="宋体"/>
          <w:bCs/>
          <w:sz w:val="32"/>
          <w:szCs w:val="32"/>
        </w:rPr>
        <w:t>第三章  保险方案</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1035"/>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2" w:hRule="atLeast"/>
          <w:jc w:val="center"/>
        </w:trPr>
        <w:tc>
          <w:tcPr>
            <w:tcW w:w="1035" w:type="dxa"/>
            <w:noWrap/>
          </w:tcPr>
          <w:p>
            <w:pPr>
              <w:adjustRightInd w:val="0"/>
              <w:snapToGrid w:val="0"/>
              <w:spacing w:line="276" w:lineRule="auto"/>
              <w:rPr>
                <w:rFonts w:ascii="宋体" w:hAnsi="宋体" w:cs="宋体"/>
                <w:b/>
                <w:spacing w:val="20"/>
                <w:sz w:val="24"/>
                <w:szCs w:val="24"/>
              </w:rPr>
            </w:pPr>
            <w:r>
              <w:rPr>
                <w:rFonts w:hint="eastAsia" w:ascii="宋体" w:hAnsi="宋体" w:cs="宋体"/>
                <w:b/>
                <w:sz w:val="24"/>
                <w:szCs w:val="24"/>
              </w:rPr>
              <w:t>险种1</w:t>
            </w:r>
          </w:p>
        </w:tc>
        <w:tc>
          <w:tcPr>
            <w:tcW w:w="7938" w:type="dxa"/>
            <w:noWrap/>
          </w:tcPr>
          <w:p>
            <w:pPr>
              <w:spacing w:line="276" w:lineRule="auto"/>
              <w:rPr>
                <w:rFonts w:ascii="宋体" w:hAnsi="宋体" w:cs="宋体"/>
                <w:b/>
                <w:sz w:val="24"/>
                <w:szCs w:val="24"/>
              </w:rPr>
            </w:pPr>
            <w:r>
              <w:rPr>
                <w:rFonts w:hint="eastAsia" w:ascii="宋体" w:hAnsi="宋体" w:cs="宋体"/>
                <w:b/>
                <w:sz w:val="24"/>
                <w:szCs w:val="24"/>
              </w:rPr>
              <w:t>建筑工程一切险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032" w:hRule="atLeast"/>
          <w:jc w:val="center"/>
        </w:trPr>
        <w:tc>
          <w:tcPr>
            <w:tcW w:w="1035" w:type="dxa"/>
            <w:noWrap/>
          </w:tcPr>
          <w:p>
            <w:pPr>
              <w:adjustRightInd w:val="0"/>
              <w:snapToGrid w:val="0"/>
              <w:spacing w:line="276" w:lineRule="auto"/>
              <w:rPr>
                <w:rFonts w:ascii="宋体" w:hAnsi="宋体" w:cs="宋体"/>
                <w:b/>
                <w:spacing w:val="20"/>
                <w:sz w:val="24"/>
                <w:szCs w:val="24"/>
              </w:rPr>
            </w:pPr>
            <w:r>
              <w:rPr>
                <w:rFonts w:hint="eastAsia" w:ascii="宋体" w:hAnsi="宋体" w:cs="宋体"/>
                <w:b/>
                <w:sz w:val="24"/>
                <w:szCs w:val="24"/>
              </w:rPr>
              <w:t>赔偿项目及赔偿限额</w:t>
            </w:r>
          </w:p>
        </w:tc>
        <w:tc>
          <w:tcPr>
            <w:tcW w:w="7938" w:type="dxa"/>
            <w:noWrap/>
            <w:vAlign w:val="center"/>
          </w:tcPr>
          <w:p>
            <w:pPr>
              <w:adjustRightInd w:val="0"/>
              <w:snapToGrid w:val="0"/>
              <w:spacing w:line="276" w:lineRule="auto"/>
              <w:rPr>
                <w:rFonts w:ascii="宋体" w:hAnsi="宋体" w:cs="宋体"/>
                <w:spacing w:val="20"/>
                <w:sz w:val="24"/>
                <w:szCs w:val="24"/>
              </w:rPr>
            </w:pPr>
            <w:r>
              <w:rPr>
                <w:rFonts w:ascii="宋体" w:hAnsi="宋体" w:cs="宋体"/>
                <w:spacing w:val="20"/>
                <w:sz w:val="24"/>
                <w:szCs w:val="24"/>
              </w:rPr>
              <w:t>物质损失部分承保范围包括但不限于：</w:t>
            </w:r>
          </w:p>
          <w:p>
            <w:pPr>
              <w:adjustRightInd w:val="0"/>
              <w:snapToGrid w:val="0"/>
              <w:spacing w:line="276" w:lineRule="auto"/>
              <w:rPr>
                <w:rFonts w:ascii="宋体" w:hAnsi="宋体" w:cs="宋体"/>
                <w:spacing w:val="20"/>
                <w:sz w:val="24"/>
                <w:szCs w:val="24"/>
              </w:rPr>
            </w:pPr>
            <w:r>
              <w:rPr>
                <w:rFonts w:hint="eastAsia" w:ascii="宋体" w:hAnsi="宋体" w:cs="宋体"/>
                <w:spacing w:val="20"/>
                <w:sz w:val="24"/>
                <w:szCs w:val="24"/>
              </w:rPr>
              <w:t>（1）</w:t>
            </w:r>
            <w:r>
              <w:rPr>
                <w:rFonts w:ascii="宋体" w:hAnsi="宋体" w:cs="宋体"/>
                <w:spacing w:val="20"/>
                <w:sz w:val="24"/>
                <w:szCs w:val="24"/>
              </w:rPr>
              <w:t>保险工程所属的永久工程、临时工程/设施、工程驻地、建筑/安装材料、永久/临时安装的设备/设施及周转性材料，以及与本工程相关的附加/配套设施；</w:t>
            </w:r>
          </w:p>
          <w:p>
            <w:pPr>
              <w:adjustRightInd w:val="0"/>
              <w:snapToGrid w:val="0"/>
              <w:spacing w:line="276" w:lineRule="auto"/>
              <w:rPr>
                <w:rFonts w:ascii="宋体" w:hAnsi="宋体" w:cs="宋体"/>
                <w:spacing w:val="20"/>
                <w:sz w:val="24"/>
                <w:szCs w:val="24"/>
              </w:rPr>
            </w:pPr>
            <w:r>
              <w:rPr>
                <w:rFonts w:hint="eastAsia" w:ascii="宋体" w:hAnsi="宋体" w:cs="宋体"/>
                <w:spacing w:val="20"/>
                <w:sz w:val="24"/>
                <w:szCs w:val="24"/>
              </w:rPr>
              <w:t>（2）</w:t>
            </w:r>
            <w:r>
              <w:rPr>
                <w:rFonts w:ascii="宋体" w:hAnsi="宋体" w:cs="宋体"/>
                <w:spacing w:val="20"/>
                <w:sz w:val="24"/>
                <w:szCs w:val="24"/>
              </w:rPr>
              <w:t>被保险人拥有或其负责保管/使用的与保险工程相关的且处于保险工程范围内的财产/物品，但不包括承包商/分包商的施工机械设备及施工机具以及被保险人的私人财产/物品，但特别约定或扩展承保的除外。</w:t>
            </w:r>
          </w:p>
          <w:p>
            <w:pPr>
              <w:adjustRightInd w:val="0"/>
              <w:snapToGrid w:val="0"/>
              <w:spacing w:line="276" w:lineRule="auto"/>
              <w:rPr>
                <w:rFonts w:ascii="宋体" w:hAnsi="宋体" w:cs="宋体"/>
                <w:spacing w:val="20"/>
                <w:sz w:val="24"/>
                <w:szCs w:val="24"/>
              </w:rPr>
            </w:pPr>
            <w:r>
              <w:rPr>
                <w:rFonts w:ascii="宋体" w:hAnsi="宋体" w:cs="宋体"/>
                <w:spacing w:val="20"/>
                <w:sz w:val="24"/>
                <w:szCs w:val="24"/>
              </w:rPr>
              <w:t>第三者责任部分：</w:t>
            </w:r>
          </w:p>
          <w:p>
            <w:pPr>
              <w:adjustRightInd w:val="0"/>
              <w:snapToGrid w:val="0"/>
              <w:spacing w:line="276" w:lineRule="auto"/>
              <w:rPr>
                <w:rFonts w:ascii="宋体" w:hAnsi="宋体" w:cs="宋体"/>
                <w:spacing w:val="20"/>
                <w:sz w:val="24"/>
                <w:szCs w:val="24"/>
              </w:rPr>
            </w:pPr>
            <w:r>
              <w:rPr>
                <w:rFonts w:hint="eastAsia" w:ascii="宋体" w:hAnsi="宋体" w:cs="宋体"/>
                <w:spacing w:val="20"/>
                <w:sz w:val="24"/>
                <w:szCs w:val="24"/>
              </w:rPr>
              <w:t>（1）</w:t>
            </w:r>
            <w:r>
              <w:rPr>
                <w:rFonts w:ascii="宋体" w:hAnsi="宋体" w:cs="宋体"/>
                <w:spacing w:val="20"/>
                <w:sz w:val="24"/>
                <w:szCs w:val="24"/>
              </w:rPr>
              <w:t>由被保险人依法应承担的与第三者人身伤亡、疾病或财产损失相关的经济赔偿责任，及被保险人因保险事故而支付的法律费用（包括但不限于仲裁或诉讼费、律师费用及其他必要、合理的费用等）。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86" w:hRule="atLeast"/>
          <w:jc w:val="center"/>
        </w:trPr>
        <w:tc>
          <w:tcPr>
            <w:tcW w:w="1035" w:type="dxa"/>
            <w:noWrap/>
          </w:tcPr>
          <w:p>
            <w:pPr>
              <w:adjustRightInd w:val="0"/>
              <w:snapToGrid w:val="0"/>
              <w:spacing w:line="276" w:lineRule="auto"/>
              <w:rPr>
                <w:rFonts w:ascii="宋体" w:hAnsi="宋体" w:cs="宋体"/>
                <w:b/>
                <w:spacing w:val="20"/>
                <w:sz w:val="24"/>
                <w:szCs w:val="24"/>
              </w:rPr>
            </w:pPr>
            <w:r>
              <w:rPr>
                <w:rFonts w:hint="eastAsia" w:ascii="宋体" w:hAnsi="宋体" w:cs="宋体"/>
                <w:b/>
                <w:sz w:val="24"/>
                <w:szCs w:val="24"/>
              </w:rPr>
              <w:t>免赔额</w:t>
            </w:r>
          </w:p>
        </w:tc>
        <w:tc>
          <w:tcPr>
            <w:tcW w:w="7938" w:type="dxa"/>
            <w:noWrap/>
          </w:tcPr>
          <w:p>
            <w:pPr>
              <w:adjustRightInd w:val="0"/>
              <w:snapToGrid w:val="0"/>
              <w:spacing w:line="276"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24" w:hRule="atLeast"/>
          <w:jc w:val="center"/>
        </w:trPr>
        <w:tc>
          <w:tcPr>
            <w:tcW w:w="1035" w:type="dxa"/>
            <w:noWrap/>
          </w:tcPr>
          <w:p>
            <w:pPr>
              <w:adjustRightInd w:val="0"/>
              <w:snapToGrid w:val="0"/>
              <w:spacing w:line="276" w:lineRule="auto"/>
              <w:rPr>
                <w:rFonts w:ascii="宋体" w:hAnsi="宋体" w:cs="宋体"/>
                <w:b/>
                <w:sz w:val="24"/>
                <w:szCs w:val="24"/>
              </w:rPr>
            </w:pPr>
            <w:r>
              <w:rPr>
                <w:rFonts w:hint="eastAsia" w:ascii="宋体" w:hAnsi="宋体" w:cs="宋体"/>
                <w:b/>
                <w:sz w:val="24"/>
                <w:szCs w:val="24"/>
              </w:rPr>
              <w:t>费率</w:t>
            </w:r>
          </w:p>
        </w:tc>
        <w:tc>
          <w:tcPr>
            <w:tcW w:w="7938" w:type="dxa"/>
            <w:noWrap/>
          </w:tcPr>
          <w:p>
            <w:pPr>
              <w:adjustRightInd w:val="0"/>
              <w:snapToGrid w:val="0"/>
              <w:spacing w:line="276"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19" w:hRule="atLeast"/>
          <w:jc w:val="center"/>
        </w:trPr>
        <w:tc>
          <w:tcPr>
            <w:tcW w:w="1035" w:type="dxa"/>
            <w:noWrap/>
          </w:tcPr>
          <w:p>
            <w:pPr>
              <w:adjustRightInd w:val="0"/>
              <w:snapToGrid w:val="0"/>
              <w:spacing w:line="276" w:lineRule="auto"/>
              <w:rPr>
                <w:rFonts w:ascii="宋体" w:hAnsi="宋体" w:cs="宋体"/>
                <w:b/>
                <w:sz w:val="24"/>
                <w:szCs w:val="24"/>
              </w:rPr>
            </w:pPr>
            <w:r>
              <w:rPr>
                <w:rFonts w:hint="eastAsia" w:ascii="宋体" w:hAnsi="宋体" w:cs="宋体"/>
                <w:b/>
                <w:sz w:val="24"/>
                <w:szCs w:val="24"/>
              </w:rPr>
              <w:t>保险费</w:t>
            </w:r>
          </w:p>
        </w:tc>
        <w:tc>
          <w:tcPr>
            <w:tcW w:w="7938" w:type="dxa"/>
            <w:noWrap/>
          </w:tcPr>
          <w:p>
            <w:pPr>
              <w:adjustRightInd w:val="0"/>
              <w:snapToGrid w:val="0"/>
              <w:spacing w:line="276"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19" w:hRule="atLeast"/>
          <w:jc w:val="center"/>
        </w:trPr>
        <w:tc>
          <w:tcPr>
            <w:tcW w:w="1035" w:type="dxa"/>
            <w:noWrap/>
          </w:tcPr>
          <w:p>
            <w:pPr>
              <w:adjustRightInd w:val="0"/>
              <w:snapToGrid w:val="0"/>
              <w:spacing w:line="276" w:lineRule="auto"/>
              <w:rPr>
                <w:rFonts w:ascii="宋体" w:hAnsi="宋体" w:cs="宋体"/>
                <w:b/>
                <w:sz w:val="24"/>
                <w:szCs w:val="24"/>
              </w:rPr>
            </w:pPr>
            <w:r>
              <w:rPr>
                <w:rFonts w:hint="eastAsia" w:ascii="宋体" w:hAnsi="宋体" w:cs="宋体"/>
                <w:b/>
                <w:sz w:val="24"/>
                <w:szCs w:val="24"/>
              </w:rPr>
              <w:t>特别说明</w:t>
            </w:r>
          </w:p>
        </w:tc>
        <w:tc>
          <w:tcPr>
            <w:tcW w:w="7938" w:type="dxa"/>
            <w:noWrap/>
          </w:tcPr>
          <w:p>
            <w:pPr>
              <w:adjustRightInd w:val="0"/>
              <w:snapToGrid w:val="0"/>
              <w:spacing w:line="276" w:lineRule="auto"/>
              <w:rPr>
                <w:rFonts w:ascii="宋体" w:hAnsi="宋体" w:cs="宋体"/>
                <w:color w:val="000000"/>
                <w:sz w:val="24"/>
                <w:szCs w:val="24"/>
              </w:rPr>
            </w:pPr>
          </w:p>
        </w:tc>
      </w:tr>
    </w:tbl>
    <w:p>
      <w:pPr>
        <w:pStyle w:val="3"/>
        <w:spacing w:before="120" w:after="120"/>
        <w:rPr>
          <w:rStyle w:val="18"/>
          <w:rFonts w:cs="仿宋" w:asciiTheme="minorEastAsia" w:hAnsiTheme="minorEastAsia" w:eastAsiaTheme="minorEastAsia"/>
          <w:b/>
          <w:sz w:val="28"/>
          <w:szCs w:val="28"/>
        </w:rPr>
      </w:pPr>
    </w:p>
    <w:p>
      <w:pPr>
        <w:pStyle w:val="3"/>
        <w:spacing w:before="120" w:after="120"/>
        <w:jc w:val="center"/>
        <w:rPr>
          <w:rFonts w:cs="仿宋" w:asciiTheme="minorEastAsia" w:hAnsiTheme="minorEastAsia" w:eastAsiaTheme="minorEastAsia"/>
          <w:kern w:val="44"/>
          <w:szCs w:val="32"/>
        </w:rPr>
      </w:pPr>
      <w:r>
        <w:rPr>
          <w:rStyle w:val="18"/>
          <w:rFonts w:hint="eastAsia" w:cs="仿宋" w:asciiTheme="minorEastAsia" w:hAnsiTheme="minorEastAsia" w:eastAsiaTheme="minorEastAsia"/>
          <w:b/>
          <w:sz w:val="32"/>
          <w:szCs w:val="32"/>
        </w:rPr>
        <w:t>第四章  投标人基本</w:t>
      </w:r>
      <w:bookmarkStart w:id="29" w:name="_Toc197847005"/>
      <w:r>
        <w:rPr>
          <w:rStyle w:val="18"/>
          <w:rFonts w:hint="eastAsia" w:cs="仿宋" w:asciiTheme="minorEastAsia" w:hAnsiTheme="minorEastAsia" w:eastAsiaTheme="minorEastAsia"/>
          <w:b/>
          <w:sz w:val="32"/>
          <w:szCs w:val="32"/>
        </w:rPr>
        <w:t>服务要求</w:t>
      </w:r>
    </w:p>
    <w:p>
      <w:pPr>
        <w:spacing w:line="440" w:lineRule="exact"/>
        <w:ind w:firstLine="566"/>
        <w:rPr>
          <w:rFonts w:ascii="宋体" w:hAnsi="宋体" w:cs="Arial"/>
          <w:color w:val="000000"/>
          <w:sz w:val="28"/>
          <w:highlight w:val="white"/>
        </w:rPr>
      </w:pPr>
      <w:r>
        <w:rPr>
          <w:rFonts w:hint="eastAsia" w:ascii="宋体" w:hAnsi="宋体" w:cs="Arial"/>
          <w:color w:val="000000"/>
          <w:sz w:val="28"/>
          <w:highlight w:val="white"/>
        </w:rPr>
        <w:t>投标</w:t>
      </w:r>
      <w:bookmarkEnd w:id="29"/>
      <w:r>
        <w:rPr>
          <w:rFonts w:hint="eastAsia" w:ascii="宋体" w:hAnsi="宋体" w:cs="Arial"/>
          <w:color w:val="000000"/>
          <w:sz w:val="28"/>
          <w:highlight w:val="white"/>
        </w:rPr>
        <w:t>人一旦中标成为本保险项目承保人（以下简称保险人），应履行以下基本服务承诺：</w:t>
      </w:r>
    </w:p>
    <w:p>
      <w:pPr>
        <w:spacing w:line="440" w:lineRule="exact"/>
        <w:ind w:firstLine="566"/>
        <w:rPr>
          <w:rFonts w:ascii="宋体" w:hAnsi="宋体" w:cs="Arial"/>
          <w:color w:val="000000"/>
          <w:sz w:val="28"/>
          <w:highlight w:val="white"/>
        </w:rPr>
      </w:pPr>
      <w:r>
        <w:rPr>
          <w:rFonts w:hint="eastAsia" w:ascii="宋体" w:hAnsi="宋体" w:cs="Arial"/>
          <w:color w:val="000000"/>
          <w:sz w:val="28"/>
          <w:highlight w:val="white"/>
        </w:rPr>
        <w:t>一、保险人服务组织机构</w:t>
      </w:r>
    </w:p>
    <w:p>
      <w:pPr>
        <w:spacing w:line="440" w:lineRule="exact"/>
        <w:ind w:firstLine="566"/>
        <w:rPr>
          <w:rFonts w:ascii="宋体" w:hAnsi="宋体" w:cs="Arial"/>
          <w:color w:val="000000"/>
          <w:sz w:val="28"/>
          <w:highlight w:val="white"/>
        </w:rPr>
      </w:pPr>
      <w:r>
        <w:rPr>
          <w:rFonts w:hint="eastAsia" w:ascii="宋体" w:hAnsi="宋体" w:cs="Arial"/>
          <w:color w:val="000000"/>
          <w:sz w:val="28"/>
          <w:highlight w:val="white"/>
        </w:rPr>
        <w:t>1、成立保险服务领导小组</w:t>
      </w:r>
    </w:p>
    <w:p>
      <w:pPr>
        <w:spacing w:line="440" w:lineRule="exact"/>
        <w:ind w:firstLine="566"/>
        <w:rPr>
          <w:rFonts w:ascii="宋体" w:hAnsi="宋体" w:cs="Arial"/>
          <w:color w:val="000000"/>
          <w:sz w:val="28"/>
          <w:highlight w:val="white"/>
        </w:rPr>
      </w:pPr>
      <w:r>
        <w:rPr>
          <w:rFonts w:hint="eastAsia" w:ascii="宋体" w:hAnsi="宋体" w:cs="Arial"/>
          <w:color w:val="000000"/>
          <w:sz w:val="28"/>
          <w:highlight w:val="white"/>
        </w:rPr>
        <w:t>保险人应成立保险服务领导小组，负责协调包括承保、理赔、服务等相关事宜。</w:t>
      </w:r>
    </w:p>
    <w:p>
      <w:pPr>
        <w:spacing w:line="440" w:lineRule="exact"/>
        <w:ind w:firstLine="566"/>
        <w:rPr>
          <w:rFonts w:ascii="宋体" w:hAnsi="宋体" w:cs="Arial"/>
          <w:color w:val="000000"/>
          <w:sz w:val="28"/>
          <w:highlight w:val="white"/>
        </w:rPr>
      </w:pPr>
      <w:r>
        <w:rPr>
          <w:rFonts w:hint="eastAsia" w:ascii="宋体" w:hAnsi="宋体" w:cs="Arial"/>
          <w:color w:val="000000"/>
          <w:sz w:val="28"/>
          <w:highlight w:val="white"/>
        </w:rPr>
        <w:t>2、客户经理的职责</w:t>
      </w:r>
    </w:p>
    <w:p>
      <w:pPr>
        <w:spacing w:line="440" w:lineRule="exact"/>
        <w:ind w:firstLine="566"/>
        <w:rPr>
          <w:rFonts w:ascii="宋体" w:hAnsi="宋体" w:cs="Arial"/>
          <w:color w:val="000000"/>
          <w:sz w:val="28"/>
          <w:highlight w:val="white"/>
        </w:rPr>
      </w:pPr>
      <w:r>
        <w:rPr>
          <w:rFonts w:hint="eastAsia" w:ascii="宋体" w:hAnsi="宋体" w:cs="Arial"/>
          <w:color w:val="000000"/>
          <w:sz w:val="28"/>
          <w:highlight w:val="white"/>
        </w:rPr>
        <w:t>客户经理获得上级机构充分授权，全权负责按照保险合同的有关内容提供全市范围内的承保、理赔及其他相关保险服务，包括必要的组织与总体协调工作。</w:t>
      </w:r>
    </w:p>
    <w:p>
      <w:pPr>
        <w:spacing w:line="440" w:lineRule="exact"/>
        <w:ind w:firstLine="566"/>
        <w:rPr>
          <w:rFonts w:ascii="宋体" w:hAnsi="宋体" w:cs="Arial"/>
          <w:color w:val="000000"/>
          <w:sz w:val="28"/>
          <w:highlight w:val="white"/>
        </w:rPr>
      </w:pPr>
      <w:r>
        <w:rPr>
          <w:rFonts w:hint="eastAsia" w:ascii="宋体" w:hAnsi="宋体" w:cs="Arial"/>
          <w:color w:val="000000"/>
          <w:sz w:val="28"/>
          <w:highlight w:val="white"/>
        </w:rPr>
        <w:t>3、服务成员的变动</w:t>
      </w:r>
    </w:p>
    <w:p>
      <w:pPr>
        <w:spacing w:line="440" w:lineRule="exact"/>
        <w:ind w:firstLine="566"/>
        <w:rPr>
          <w:rFonts w:ascii="宋体" w:hAnsi="宋体" w:cs="Arial"/>
          <w:color w:val="000000"/>
          <w:sz w:val="28"/>
          <w:highlight w:val="white"/>
        </w:rPr>
      </w:pPr>
      <w:r>
        <w:rPr>
          <w:rFonts w:hint="eastAsia" w:ascii="宋体" w:hAnsi="宋体" w:cs="Arial"/>
          <w:color w:val="000000"/>
          <w:sz w:val="28"/>
          <w:highlight w:val="white"/>
        </w:rPr>
        <w:t>保险服务领导小组明示主要服务成员，该成员如调动离岗，须7日内告知被保险人及其指定代理人有关接替人员联系方式。</w:t>
      </w:r>
    </w:p>
    <w:p>
      <w:pPr>
        <w:spacing w:line="440" w:lineRule="exact"/>
        <w:ind w:firstLine="566"/>
        <w:rPr>
          <w:rFonts w:ascii="宋体" w:hAnsi="宋体" w:cs="Arial"/>
          <w:color w:val="000000"/>
          <w:sz w:val="28"/>
          <w:highlight w:val="white"/>
        </w:rPr>
      </w:pPr>
      <w:r>
        <w:rPr>
          <w:rFonts w:hint="eastAsia" w:ascii="宋体" w:hAnsi="宋体" w:cs="Arial"/>
          <w:color w:val="000000"/>
          <w:sz w:val="28"/>
          <w:highlight w:val="white"/>
        </w:rPr>
        <w:t>4、内部培训和服务手册</w:t>
      </w:r>
    </w:p>
    <w:p>
      <w:pPr>
        <w:spacing w:line="440" w:lineRule="exact"/>
        <w:ind w:firstLine="566"/>
        <w:rPr>
          <w:rFonts w:ascii="宋体" w:hAnsi="宋体" w:cs="Arial"/>
          <w:color w:val="000000"/>
          <w:sz w:val="28"/>
          <w:highlight w:val="white"/>
        </w:rPr>
      </w:pPr>
      <w:r>
        <w:rPr>
          <w:rFonts w:hint="eastAsia" w:ascii="宋体" w:hAnsi="宋体" w:cs="Arial"/>
          <w:color w:val="000000"/>
          <w:sz w:val="28"/>
          <w:highlight w:val="white"/>
        </w:rPr>
        <w:t>在签订保险合同之日起30日内，保险人将有关保险合同的内容，包括保险合同保障范围、保险服务承诺等，进行有针对性的内部培训。</w:t>
      </w:r>
      <w:bookmarkStart w:id="30" w:name="_Toc197847006"/>
    </w:p>
    <w:p>
      <w:pPr>
        <w:spacing w:line="440" w:lineRule="exact"/>
        <w:ind w:firstLine="566"/>
        <w:rPr>
          <w:rFonts w:ascii="宋体" w:hAnsi="宋体" w:cs="Arial"/>
          <w:color w:val="000000"/>
          <w:sz w:val="28"/>
          <w:highlight w:val="white"/>
        </w:rPr>
      </w:pPr>
      <w:r>
        <w:rPr>
          <w:rFonts w:hint="eastAsia" w:ascii="宋体" w:hAnsi="宋体" w:cs="Arial"/>
          <w:color w:val="000000"/>
          <w:sz w:val="28"/>
          <w:highlight w:val="white"/>
        </w:rPr>
        <w:t>二、理赔统计和保险服务报告、总结</w:t>
      </w:r>
    </w:p>
    <w:p>
      <w:pPr>
        <w:spacing w:line="440" w:lineRule="exact"/>
        <w:ind w:firstLine="566"/>
        <w:rPr>
          <w:rFonts w:ascii="宋体" w:hAnsi="宋体" w:cs="Arial"/>
          <w:color w:val="000000"/>
          <w:sz w:val="28"/>
          <w:highlight w:val="white"/>
        </w:rPr>
      </w:pPr>
      <w:r>
        <w:rPr>
          <w:rFonts w:hint="eastAsia" w:ascii="宋体" w:hAnsi="宋体" w:cs="Arial"/>
          <w:color w:val="000000"/>
          <w:sz w:val="28"/>
          <w:highlight w:val="white"/>
        </w:rPr>
        <w:t>保险公司每半年向被保险人提供各险种理赔统计报表以及保险服务报告和自评，内容应包括但不限于损失案件发生的时间、地点、损失原因、报损金额、定损金额、赔款、结案时间、未结案原因说明、结案率以及保险服务承诺履行情况等有关的信息。</w:t>
      </w:r>
    </w:p>
    <w:bookmarkEnd w:id="30"/>
    <w:p>
      <w:pPr>
        <w:spacing w:line="440" w:lineRule="exact"/>
        <w:ind w:firstLine="566"/>
        <w:rPr>
          <w:rFonts w:ascii="宋体" w:hAnsi="宋体" w:cs="Arial"/>
          <w:color w:val="000000"/>
          <w:sz w:val="28"/>
          <w:highlight w:val="white"/>
        </w:rPr>
      </w:pPr>
      <w:bookmarkStart w:id="31" w:name="_Toc216420224"/>
    </w:p>
    <w:p>
      <w:pPr>
        <w:spacing w:line="440" w:lineRule="exact"/>
        <w:ind w:firstLine="566"/>
        <w:rPr>
          <w:rFonts w:ascii="宋体" w:hAnsi="宋体" w:cs="Arial"/>
          <w:color w:val="000000"/>
          <w:sz w:val="28"/>
          <w:highlight w:val="white"/>
        </w:rPr>
      </w:pPr>
      <w:r>
        <w:rPr>
          <w:rFonts w:hint="eastAsia" w:ascii="宋体" w:hAnsi="宋体" w:cs="Arial"/>
          <w:color w:val="000000"/>
          <w:sz w:val="28"/>
          <w:highlight w:val="white"/>
        </w:rPr>
        <w:t>（以上服务内容请投标人自拟，作为投标文件附件）</w:t>
      </w:r>
    </w:p>
    <w:p>
      <w:pPr>
        <w:rPr>
          <w:rFonts w:ascii="仿宋" w:hAnsi="仿宋" w:eastAsia="仿宋" w:cs="仿宋"/>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hint="eastAsia" w:ascii="仿宋" w:hAnsi="仿宋" w:eastAsia="仿宋" w:cs="仿宋"/>
          <w:b/>
          <w:sz w:val="28"/>
          <w:szCs w:val="28"/>
        </w:rPr>
      </w:pPr>
    </w:p>
    <w:p>
      <w:pPr>
        <w:rPr>
          <w:rFonts w:hint="eastAsia" w:ascii="仿宋" w:hAnsi="仿宋" w:eastAsia="仿宋" w:cs="仿宋"/>
          <w:b/>
          <w:sz w:val="28"/>
          <w:szCs w:val="28"/>
        </w:rPr>
      </w:pPr>
    </w:p>
    <w:p>
      <w:pPr>
        <w:rPr>
          <w:rFonts w:hint="eastAsia" w:ascii="仿宋" w:hAnsi="仿宋" w:eastAsia="仿宋" w:cs="仿宋"/>
          <w:b/>
          <w:sz w:val="28"/>
          <w:szCs w:val="28"/>
        </w:rPr>
      </w:pPr>
    </w:p>
    <w:p>
      <w:pPr>
        <w:rPr>
          <w:rFonts w:hint="eastAsia" w:ascii="仿宋" w:hAnsi="仿宋" w:eastAsia="仿宋" w:cs="仿宋"/>
          <w:b/>
          <w:sz w:val="28"/>
          <w:szCs w:val="28"/>
        </w:rPr>
      </w:pPr>
    </w:p>
    <w:p>
      <w:pPr>
        <w:rPr>
          <w:rFonts w:hint="eastAsia" w:ascii="仿宋" w:hAnsi="仿宋" w:eastAsia="仿宋" w:cs="仿宋"/>
          <w:b/>
          <w:sz w:val="28"/>
          <w:szCs w:val="28"/>
        </w:rPr>
      </w:pPr>
    </w:p>
    <w:p>
      <w:pPr>
        <w:rPr>
          <w:rFonts w:hint="eastAsia" w:ascii="仿宋" w:hAnsi="仿宋" w:eastAsia="仿宋" w:cs="仿宋"/>
          <w:b/>
          <w:sz w:val="28"/>
          <w:szCs w:val="28"/>
        </w:rPr>
      </w:pPr>
    </w:p>
    <w:p>
      <w:pPr>
        <w:rPr>
          <w:rFonts w:hint="eastAsia" w:ascii="仿宋" w:hAnsi="仿宋" w:eastAsia="仿宋" w:cs="仿宋"/>
          <w:b/>
          <w:sz w:val="28"/>
          <w:szCs w:val="28"/>
        </w:rPr>
      </w:pPr>
    </w:p>
    <w:p>
      <w:pPr>
        <w:rPr>
          <w:rFonts w:hint="eastAsia" w:ascii="仿宋" w:hAnsi="仿宋" w:eastAsia="仿宋" w:cs="仿宋"/>
          <w:b/>
          <w:sz w:val="28"/>
          <w:szCs w:val="28"/>
        </w:rPr>
      </w:pPr>
    </w:p>
    <w:p>
      <w:pPr>
        <w:rPr>
          <w:rFonts w:ascii="仿宋" w:hAnsi="仿宋" w:eastAsia="仿宋" w:cs="仿宋"/>
          <w:b/>
          <w:sz w:val="28"/>
          <w:szCs w:val="28"/>
        </w:rPr>
      </w:pPr>
      <w:r>
        <w:rPr>
          <w:rFonts w:hint="eastAsia" w:ascii="仿宋" w:hAnsi="仿宋" w:eastAsia="仿宋" w:cs="仿宋"/>
          <w:b/>
          <w:sz w:val="28"/>
          <w:szCs w:val="28"/>
        </w:rPr>
        <w:t>附件1:</w:t>
      </w:r>
      <w:r>
        <w:rPr>
          <w:rFonts w:hint="eastAsia" w:ascii="仿宋" w:hAnsi="仿宋" w:eastAsia="仿宋" w:cs="仿宋"/>
          <w:sz w:val="28"/>
          <w:szCs w:val="28"/>
        </w:rPr>
        <w:t>投标报价单</w:t>
      </w:r>
    </w:p>
    <w:bookmarkEnd w:id="31"/>
    <w:p>
      <w:pPr>
        <w:jc w:val="center"/>
        <w:rPr>
          <w:rFonts w:ascii="仿宋" w:hAnsi="仿宋" w:eastAsia="仿宋" w:cs="仿宋"/>
          <w:b/>
          <w:sz w:val="32"/>
          <w:szCs w:val="32"/>
        </w:rPr>
      </w:pPr>
      <w:bookmarkStart w:id="32" w:name="_Toc192477839"/>
    </w:p>
    <w:p>
      <w:pPr>
        <w:jc w:val="center"/>
        <w:rPr>
          <w:rFonts w:ascii="仿宋" w:hAnsi="仿宋" w:eastAsia="仿宋" w:cs="仿宋"/>
          <w:b/>
          <w:sz w:val="32"/>
          <w:szCs w:val="32"/>
        </w:rPr>
      </w:pPr>
      <w:r>
        <w:rPr>
          <w:rFonts w:hint="eastAsia" w:ascii="仿宋" w:hAnsi="仿宋" w:eastAsia="仿宋" w:cs="仿宋"/>
          <w:b/>
          <w:sz w:val="32"/>
          <w:szCs w:val="32"/>
        </w:rPr>
        <w:t>投标报价单</w:t>
      </w:r>
    </w:p>
    <w:p>
      <w:pPr>
        <w:rPr>
          <w:rFonts w:ascii="仿宋" w:hAnsi="仿宋" w:eastAsia="仿宋" w:cs="仿宋"/>
          <w:sz w:val="28"/>
          <w:szCs w:val="28"/>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1475"/>
        <w:gridCol w:w="1857"/>
        <w:gridCol w:w="2387"/>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noWrap/>
          </w:tcPr>
          <w:p>
            <w:pPr>
              <w:jc w:val="center"/>
              <w:rPr>
                <w:rFonts w:ascii="仿宋" w:hAnsi="仿宋" w:eastAsia="仿宋" w:cs="仿宋"/>
                <w:sz w:val="28"/>
                <w:szCs w:val="28"/>
              </w:rPr>
            </w:pPr>
            <w:r>
              <w:rPr>
                <w:rFonts w:hint="eastAsia" w:ascii="仿宋" w:hAnsi="仿宋" w:eastAsia="仿宋" w:cs="仿宋"/>
                <w:sz w:val="28"/>
                <w:szCs w:val="28"/>
              </w:rPr>
              <w:t>险种</w:t>
            </w:r>
          </w:p>
        </w:tc>
        <w:tc>
          <w:tcPr>
            <w:tcW w:w="1475" w:type="dxa"/>
            <w:noWrap/>
          </w:tcPr>
          <w:p>
            <w:pPr>
              <w:jc w:val="center"/>
              <w:rPr>
                <w:rFonts w:ascii="仿宋" w:hAnsi="仿宋" w:eastAsia="仿宋" w:cs="仿宋"/>
                <w:sz w:val="28"/>
                <w:szCs w:val="28"/>
              </w:rPr>
            </w:pPr>
            <w:r>
              <w:rPr>
                <w:rFonts w:hint="eastAsia" w:ascii="仿宋" w:hAnsi="仿宋" w:eastAsia="仿宋" w:cs="仿宋"/>
                <w:sz w:val="28"/>
                <w:szCs w:val="28"/>
              </w:rPr>
              <w:t>保额</w:t>
            </w:r>
          </w:p>
        </w:tc>
        <w:tc>
          <w:tcPr>
            <w:tcW w:w="1857" w:type="dxa"/>
            <w:noWrap/>
          </w:tcPr>
          <w:p>
            <w:pPr>
              <w:jc w:val="center"/>
              <w:rPr>
                <w:rFonts w:ascii="仿宋" w:hAnsi="仿宋" w:eastAsia="仿宋" w:cs="仿宋"/>
                <w:sz w:val="28"/>
                <w:szCs w:val="28"/>
              </w:rPr>
            </w:pPr>
            <w:r>
              <w:rPr>
                <w:rFonts w:hint="eastAsia" w:ascii="仿宋" w:hAnsi="仿宋" w:eastAsia="仿宋" w:cs="仿宋"/>
                <w:sz w:val="28"/>
                <w:szCs w:val="28"/>
              </w:rPr>
              <w:t>报价费率</w:t>
            </w:r>
          </w:p>
        </w:tc>
        <w:tc>
          <w:tcPr>
            <w:tcW w:w="2387" w:type="dxa"/>
            <w:noWrap/>
          </w:tcPr>
          <w:p>
            <w:pPr>
              <w:jc w:val="center"/>
              <w:rPr>
                <w:rFonts w:ascii="仿宋" w:hAnsi="仿宋" w:eastAsia="仿宋" w:cs="仿宋"/>
                <w:sz w:val="28"/>
                <w:szCs w:val="28"/>
              </w:rPr>
            </w:pPr>
            <w:r>
              <w:rPr>
                <w:rFonts w:hint="eastAsia" w:ascii="仿宋" w:hAnsi="仿宋" w:eastAsia="仿宋" w:cs="仿宋"/>
                <w:sz w:val="28"/>
                <w:szCs w:val="28"/>
              </w:rPr>
              <w:t>保险费（元）</w:t>
            </w:r>
          </w:p>
        </w:tc>
        <w:tc>
          <w:tcPr>
            <w:tcW w:w="1328" w:type="dxa"/>
            <w:noWrap/>
          </w:tcPr>
          <w:p>
            <w:pPr>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2239" w:type="dxa"/>
            <w:noWrap/>
            <w:vAlign w:val="center"/>
          </w:tcPr>
          <w:p>
            <w:pPr>
              <w:jc w:val="center"/>
              <w:rPr>
                <w:rFonts w:ascii="仿宋" w:hAnsi="仿宋" w:eastAsia="仿宋" w:cs="仿宋"/>
                <w:sz w:val="28"/>
                <w:szCs w:val="28"/>
              </w:rPr>
            </w:pPr>
            <w:r>
              <w:rPr>
                <w:rFonts w:hint="eastAsia" w:ascii="仿宋" w:hAnsi="仿宋" w:eastAsia="仿宋" w:cs="仿宋"/>
                <w:sz w:val="28"/>
                <w:szCs w:val="28"/>
              </w:rPr>
              <w:t>建筑工程一切险</w:t>
            </w:r>
          </w:p>
        </w:tc>
        <w:tc>
          <w:tcPr>
            <w:tcW w:w="1475" w:type="dxa"/>
            <w:noWrap/>
            <w:vAlign w:val="center"/>
          </w:tcPr>
          <w:p>
            <w:pPr>
              <w:jc w:val="center"/>
              <w:rPr>
                <w:rFonts w:ascii="仿宋" w:hAnsi="仿宋" w:eastAsia="仿宋" w:cs="仿宋"/>
                <w:sz w:val="28"/>
                <w:szCs w:val="28"/>
              </w:rPr>
            </w:pPr>
          </w:p>
        </w:tc>
        <w:tc>
          <w:tcPr>
            <w:tcW w:w="1857" w:type="dxa"/>
            <w:noWrap/>
            <w:vAlign w:val="center"/>
          </w:tcPr>
          <w:p>
            <w:pPr>
              <w:jc w:val="center"/>
              <w:rPr>
                <w:rFonts w:ascii="仿宋" w:hAnsi="仿宋" w:eastAsia="仿宋" w:cs="仿宋"/>
                <w:sz w:val="28"/>
                <w:szCs w:val="28"/>
              </w:rPr>
            </w:pPr>
          </w:p>
        </w:tc>
        <w:tc>
          <w:tcPr>
            <w:tcW w:w="2387" w:type="dxa"/>
            <w:noWrap/>
            <w:vAlign w:val="center"/>
          </w:tcPr>
          <w:p>
            <w:pPr>
              <w:jc w:val="center"/>
              <w:rPr>
                <w:rFonts w:ascii="仿宋" w:hAnsi="仿宋" w:eastAsia="仿宋" w:cs="仿宋"/>
                <w:sz w:val="28"/>
                <w:szCs w:val="28"/>
              </w:rPr>
            </w:pPr>
          </w:p>
        </w:tc>
        <w:tc>
          <w:tcPr>
            <w:tcW w:w="1328" w:type="dxa"/>
            <w:noWrap/>
            <w:vAlign w:val="center"/>
          </w:tcPr>
          <w:p>
            <w:pPr>
              <w:jc w:val="center"/>
              <w:rPr>
                <w:rFonts w:ascii="仿宋" w:hAnsi="仿宋" w:eastAsia="仿宋" w:cs="仿宋"/>
                <w:sz w:val="28"/>
                <w:szCs w:val="28"/>
              </w:rPr>
            </w:pPr>
            <w:r>
              <w:rPr>
                <w:rFonts w:hint="eastAsia" w:ascii="仿宋" w:hAnsi="仿宋" w:eastAsia="仿宋" w:cs="仿宋"/>
                <w:sz w:val="28"/>
                <w:szCs w:val="28"/>
              </w:rPr>
              <w:t>响应度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2239" w:type="dxa"/>
            <w:noWrap/>
            <w:vAlign w:val="center"/>
          </w:tcPr>
          <w:p>
            <w:pPr>
              <w:jc w:val="center"/>
              <w:rPr>
                <w:rFonts w:ascii="仿宋" w:hAnsi="仿宋" w:eastAsia="仿宋" w:cs="仿宋"/>
                <w:sz w:val="28"/>
                <w:szCs w:val="28"/>
              </w:rPr>
            </w:pPr>
            <w:r>
              <w:rPr>
                <w:rFonts w:hint="eastAsia" w:ascii="仿宋" w:hAnsi="仿宋" w:eastAsia="仿宋" w:cs="仿宋"/>
                <w:sz w:val="28"/>
                <w:szCs w:val="28"/>
              </w:rPr>
              <w:t>合计</w:t>
            </w:r>
          </w:p>
        </w:tc>
        <w:tc>
          <w:tcPr>
            <w:tcW w:w="1475" w:type="dxa"/>
            <w:noWrap/>
            <w:vAlign w:val="center"/>
          </w:tcPr>
          <w:p>
            <w:pPr>
              <w:jc w:val="center"/>
              <w:rPr>
                <w:rFonts w:ascii="仿宋" w:hAnsi="仿宋" w:eastAsia="仿宋" w:cs="仿宋"/>
                <w:sz w:val="28"/>
                <w:szCs w:val="28"/>
              </w:rPr>
            </w:pPr>
          </w:p>
        </w:tc>
        <w:tc>
          <w:tcPr>
            <w:tcW w:w="1857" w:type="dxa"/>
            <w:noWrap/>
            <w:vAlign w:val="center"/>
          </w:tcPr>
          <w:p>
            <w:pPr>
              <w:jc w:val="center"/>
              <w:rPr>
                <w:rFonts w:ascii="仿宋" w:hAnsi="仿宋" w:eastAsia="仿宋" w:cs="仿宋"/>
                <w:sz w:val="28"/>
                <w:szCs w:val="28"/>
              </w:rPr>
            </w:pPr>
          </w:p>
        </w:tc>
        <w:tc>
          <w:tcPr>
            <w:tcW w:w="2387" w:type="dxa"/>
            <w:noWrap/>
            <w:vAlign w:val="center"/>
          </w:tcPr>
          <w:p>
            <w:pPr>
              <w:jc w:val="center"/>
              <w:rPr>
                <w:rFonts w:ascii="仿宋" w:hAnsi="仿宋" w:eastAsia="仿宋" w:cs="仿宋"/>
                <w:sz w:val="28"/>
                <w:szCs w:val="28"/>
              </w:rPr>
            </w:pPr>
          </w:p>
        </w:tc>
        <w:tc>
          <w:tcPr>
            <w:tcW w:w="1328" w:type="dxa"/>
            <w:noWrap/>
            <w:vAlign w:val="center"/>
          </w:tcPr>
          <w:p>
            <w:pPr>
              <w:jc w:val="center"/>
              <w:rPr>
                <w:rFonts w:ascii="仿宋" w:hAnsi="仿宋" w:eastAsia="仿宋" w:cs="仿宋"/>
                <w:sz w:val="28"/>
                <w:szCs w:val="28"/>
              </w:rPr>
            </w:pPr>
          </w:p>
        </w:tc>
      </w:tr>
    </w:tbl>
    <w:p>
      <w:pPr>
        <w:rPr>
          <w:rFonts w:ascii="仿宋" w:hAnsi="仿宋" w:eastAsia="仿宋" w:cs="仿宋"/>
          <w:sz w:val="28"/>
          <w:szCs w:val="28"/>
        </w:rPr>
      </w:pPr>
    </w:p>
    <w:p>
      <w:pPr>
        <w:ind w:firstLine="570"/>
        <w:jc w:val="left"/>
        <w:rPr>
          <w:rFonts w:ascii="仿宋" w:hAnsi="仿宋" w:eastAsia="仿宋" w:cs="仿宋"/>
          <w:sz w:val="28"/>
          <w:szCs w:val="28"/>
        </w:rPr>
      </w:pPr>
      <w:r>
        <w:rPr>
          <w:rFonts w:hint="eastAsia" w:ascii="仿宋" w:hAnsi="仿宋" w:eastAsia="仿宋" w:cs="仿宋"/>
          <w:sz w:val="28"/>
          <w:szCs w:val="28"/>
        </w:rPr>
        <w:t>说明：费率保留小数点后2位</w:t>
      </w:r>
    </w:p>
    <w:p>
      <w:pPr>
        <w:ind w:firstLine="570"/>
        <w:jc w:val="left"/>
        <w:rPr>
          <w:rFonts w:ascii="仿宋" w:hAnsi="仿宋" w:eastAsia="仿宋" w:cs="仿宋"/>
          <w:sz w:val="28"/>
          <w:szCs w:val="28"/>
        </w:rPr>
      </w:pPr>
    </w:p>
    <w:p>
      <w:pPr>
        <w:ind w:firstLine="3080"/>
        <w:rPr>
          <w:rFonts w:ascii="仿宋" w:hAnsi="仿宋" w:eastAsia="仿宋" w:cs="仿宋"/>
          <w:sz w:val="28"/>
          <w:szCs w:val="28"/>
        </w:rPr>
      </w:pPr>
      <w:r>
        <w:rPr>
          <w:rFonts w:hint="eastAsia" w:ascii="仿宋" w:hAnsi="仿宋" w:eastAsia="仿宋" w:cs="仿宋"/>
          <w:sz w:val="28"/>
          <w:szCs w:val="28"/>
        </w:rPr>
        <w:t>投标人（公章）：</w:t>
      </w:r>
    </w:p>
    <w:p>
      <w:pPr>
        <w:ind w:firstLine="3080"/>
        <w:rPr>
          <w:rFonts w:ascii="仿宋" w:hAnsi="仿宋" w:eastAsia="仿宋" w:cs="仿宋"/>
          <w:sz w:val="28"/>
          <w:szCs w:val="28"/>
        </w:rPr>
      </w:pPr>
      <w:r>
        <w:rPr>
          <w:rFonts w:hint="eastAsia" w:ascii="仿宋" w:hAnsi="仿宋" w:eastAsia="仿宋" w:cs="仿宋"/>
          <w:sz w:val="28"/>
          <w:szCs w:val="28"/>
        </w:rPr>
        <w:t>投标人负责人或授权代表（签字或盖章）：</w:t>
      </w:r>
    </w:p>
    <w:p>
      <w:pPr>
        <w:ind w:firstLine="5600" w:firstLineChars="2000"/>
        <w:rPr>
          <w:rFonts w:ascii="仿宋" w:hAnsi="仿宋" w:eastAsia="仿宋" w:cs="仿宋"/>
          <w:sz w:val="28"/>
          <w:szCs w:val="28"/>
        </w:rPr>
      </w:pPr>
      <w:r>
        <w:rPr>
          <w:rFonts w:hint="eastAsia" w:ascii="仿宋" w:hAnsi="仿宋" w:eastAsia="仿宋" w:cs="仿宋"/>
          <w:sz w:val="28"/>
          <w:szCs w:val="28"/>
        </w:rPr>
        <w:t>年   月   日</w:t>
      </w:r>
      <w:bookmarkEnd w:id="32"/>
    </w:p>
    <w:sectPr>
      <w:footerReference r:id="rId3" w:type="default"/>
      <w:pgSz w:w="11906" w:h="16838"/>
      <w:pgMar w:top="1440" w:right="8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367585"/>
      <w:docPartObj>
        <w:docPartGallery w:val="autotext"/>
      </w:docPartObj>
    </w:sdtPr>
    <w:sdtContent>
      <w:p>
        <w:pPr>
          <w:pStyle w:val="10"/>
          <w:jc w:val="right"/>
        </w:pPr>
        <w:r>
          <w:fldChar w:fldCharType="begin"/>
        </w:r>
        <w:r>
          <w:instrText xml:space="preserve"> PAGE   \* MERGEFORMAT </w:instrText>
        </w:r>
        <w:r>
          <w:fldChar w:fldCharType="separate"/>
        </w:r>
        <w:r>
          <w:rPr>
            <w:lang w:val="zh-CN"/>
          </w:rPr>
          <w:t>7</w:t>
        </w:r>
        <w:r>
          <w:rPr>
            <w:lang w:val="zh-CN"/>
          </w:rPr>
          <w:fldChar w:fldCharType="end"/>
        </w:r>
      </w:p>
    </w:sdtContent>
  </w:sdt>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NTE4NmRlNGM2YjQ1ODA1ZTE5NjY4YzI3NDM5NjAifQ=="/>
  </w:docVars>
  <w:rsids>
    <w:rsidRoot w:val="3A844E40"/>
    <w:rsid w:val="00050ACA"/>
    <w:rsid w:val="000604FC"/>
    <w:rsid w:val="00083893"/>
    <w:rsid w:val="00096281"/>
    <w:rsid w:val="000A2148"/>
    <w:rsid w:val="000C563D"/>
    <w:rsid w:val="000C5820"/>
    <w:rsid w:val="001439AB"/>
    <w:rsid w:val="00150863"/>
    <w:rsid w:val="00165DFA"/>
    <w:rsid w:val="00190028"/>
    <w:rsid w:val="00194F78"/>
    <w:rsid w:val="0019743A"/>
    <w:rsid w:val="001A6F9D"/>
    <w:rsid w:val="00200214"/>
    <w:rsid w:val="00261CD1"/>
    <w:rsid w:val="002B1211"/>
    <w:rsid w:val="002B77B0"/>
    <w:rsid w:val="002F7A01"/>
    <w:rsid w:val="00340366"/>
    <w:rsid w:val="00352387"/>
    <w:rsid w:val="00356A87"/>
    <w:rsid w:val="003A64A1"/>
    <w:rsid w:val="003B215B"/>
    <w:rsid w:val="00417654"/>
    <w:rsid w:val="0047494F"/>
    <w:rsid w:val="0048369D"/>
    <w:rsid w:val="004A14C6"/>
    <w:rsid w:val="004A6B82"/>
    <w:rsid w:val="004C17F9"/>
    <w:rsid w:val="004F3FDA"/>
    <w:rsid w:val="004F5760"/>
    <w:rsid w:val="004F7A68"/>
    <w:rsid w:val="005023C9"/>
    <w:rsid w:val="005564A0"/>
    <w:rsid w:val="00574DCE"/>
    <w:rsid w:val="00584B90"/>
    <w:rsid w:val="00585B1E"/>
    <w:rsid w:val="005B06CE"/>
    <w:rsid w:val="005B3DD3"/>
    <w:rsid w:val="005E16FA"/>
    <w:rsid w:val="00634AED"/>
    <w:rsid w:val="006617AE"/>
    <w:rsid w:val="006C5A8C"/>
    <w:rsid w:val="006E5A3D"/>
    <w:rsid w:val="007021E6"/>
    <w:rsid w:val="007202DD"/>
    <w:rsid w:val="007966B4"/>
    <w:rsid w:val="007B370B"/>
    <w:rsid w:val="007B5CB9"/>
    <w:rsid w:val="007F5965"/>
    <w:rsid w:val="00810AAD"/>
    <w:rsid w:val="00820FD7"/>
    <w:rsid w:val="00834290"/>
    <w:rsid w:val="00842608"/>
    <w:rsid w:val="00857253"/>
    <w:rsid w:val="0087550E"/>
    <w:rsid w:val="008855DC"/>
    <w:rsid w:val="008C7B3C"/>
    <w:rsid w:val="009035AD"/>
    <w:rsid w:val="00924CEB"/>
    <w:rsid w:val="009457EC"/>
    <w:rsid w:val="00947913"/>
    <w:rsid w:val="00956ACF"/>
    <w:rsid w:val="00963202"/>
    <w:rsid w:val="0099182F"/>
    <w:rsid w:val="009B2566"/>
    <w:rsid w:val="009C1CB4"/>
    <w:rsid w:val="00A50F42"/>
    <w:rsid w:val="00A665A2"/>
    <w:rsid w:val="00A72FE9"/>
    <w:rsid w:val="00AB4CF1"/>
    <w:rsid w:val="00AB5925"/>
    <w:rsid w:val="00AC756F"/>
    <w:rsid w:val="00B26AFA"/>
    <w:rsid w:val="00B77001"/>
    <w:rsid w:val="00BB3382"/>
    <w:rsid w:val="00BC45A6"/>
    <w:rsid w:val="00C335F3"/>
    <w:rsid w:val="00C64800"/>
    <w:rsid w:val="00C752C3"/>
    <w:rsid w:val="00C81E8B"/>
    <w:rsid w:val="00CC2AC6"/>
    <w:rsid w:val="00D22607"/>
    <w:rsid w:val="00D53A10"/>
    <w:rsid w:val="00D7764D"/>
    <w:rsid w:val="00DA481F"/>
    <w:rsid w:val="00DC0230"/>
    <w:rsid w:val="00DE305E"/>
    <w:rsid w:val="00E0301D"/>
    <w:rsid w:val="00E36B4F"/>
    <w:rsid w:val="00E4711F"/>
    <w:rsid w:val="00E51427"/>
    <w:rsid w:val="00E545D1"/>
    <w:rsid w:val="00E64ED6"/>
    <w:rsid w:val="00E75A41"/>
    <w:rsid w:val="00EA72C6"/>
    <w:rsid w:val="00F96AEF"/>
    <w:rsid w:val="00FA5D8B"/>
    <w:rsid w:val="00FB01D9"/>
    <w:rsid w:val="00FF2B02"/>
    <w:rsid w:val="09AB0B4B"/>
    <w:rsid w:val="0D8E07B5"/>
    <w:rsid w:val="1C503408"/>
    <w:rsid w:val="27A5664E"/>
    <w:rsid w:val="3A844E40"/>
    <w:rsid w:val="41B116E0"/>
    <w:rsid w:val="463210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2"/>
    <w:basedOn w:val="1"/>
    <w:next w:val="4"/>
    <w:qFormat/>
    <w:uiPriority w:val="0"/>
    <w:pPr>
      <w:keepNext/>
      <w:keepLines/>
      <w:spacing w:line="413" w:lineRule="auto"/>
      <w:outlineLvl w:val="1"/>
    </w:pPr>
    <w:rPr>
      <w:rFonts w:ascii="Arial" w:hAnsi="Arial" w:eastAsia="黑体"/>
      <w:b/>
      <w:sz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
    <w:name w:val="Normal Indent"/>
    <w:basedOn w:val="1"/>
    <w:qFormat/>
    <w:uiPriority w:val="0"/>
    <w:pPr>
      <w:adjustRightInd w:val="0"/>
      <w:spacing w:line="312" w:lineRule="atLeast"/>
      <w:ind w:firstLine="420"/>
      <w:textAlignment w:val="baseline"/>
    </w:pPr>
    <w:rPr>
      <w:kern w:val="0"/>
    </w:rPr>
  </w:style>
  <w:style w:type="paragraph" w:styleId="5">
    <w:name w:val="annotation text"/>
    <w:basedOn w:val="1"/>
    <w:semiHidden/>
    <w:qFormat/>
    <w:uiPriority w:val="0"/>
    <w:pPr>
      <w:jc w:val="left"/>
    </w:pPr>
  </w:style>
  <w:style w:type="paragraph" w:styleId="6">
    <w:name w:val="Body Text"/>
    <w:basedOn w:val="1"/>
    <w:qFormat/>
    <w:uiPriority w:val="0"/>
  </w:style>
  <w:style w:type="paragraph" w:styleId="7">
    <w:name w:val="Body Text Indent"/>
    <w:basedOn w:val="1"/>
    <w:qFormat/>
    <w:uiPriority w:val="0"/>
    <w:pPr>
      <w:spacing w:line="360" w:lineRule="auto"/>
      <w:ind w:firstLine="560" w:firstLineChars="200"/>
    </w:pPr>
    <w:rPr>
      <w:rFonts w:ascii="仿宋_GB2312" w:hAnsi="华文中宋" w:eastAsia="仿宋_GB2312"/>
      <w:color w:val="000000"/>
      <w:sz w:val="28"/>
    </w:rPr>
  </w:style>
  <w:style w:type="paragraph" w:styleId="8">
    <w:name w:val="Date"/>
    <w:basedOn w:val="1"/>
    <w:next w:val="1"/>
    <w:link w:val="23"/>
    <w:qFormat/>
    <w:uiPriority w:val="0"/>
    <w:rPr>
      <w:rFonts w:eastAsia="仿宋_GB2312"/>
      <w:sz w:val="30"/>
      <w:szCs w:val="22"/>
    </w:rPr>
  </w:style>
  <w:style w:type="paragraph" w:styleId="9">
    <w:name w:val="Body Text Indent 2"/>
    <w:basedOn w:val="1"/>
    <w:qFormat/>
    <w:uiPriority w:val="0"/>
    <w:pPr>
      <w:tabs>
        <w:tab w:val="left" w:pos="-2520"/>
      </w:tabs>
      <w:spacing w:line="460" w:lineRule="exact"/>
      <w:ind w:firstLine="560" w:firstLineChars="200"/>
    </w:pPr>
    <w:rPr>
      <w:rFonts w:ascii="仿宋_GB2312" w:hAnsi="宋体" w:eastAsia="仿宋_GB2312"/>
      <w:sz w:val="28"/>
    </w:rPr>
  </w:style>
  <w:style w:type="paragraph" w:styleId="10">
    <w:name w:val="footer"/>
    <w:basedOn w:val="1"/>
    <w:link w:val="22"/>
    <w:qFormat/>
    <w:uiPriority w:val="99"/>
    <w:pPr>
      <w:tabs>
        <w:tab w:val="center" w:pos="4153"/>
        <w:tab w:val="right" w:pos="8306"/>
      </w:tabs>
      <w:snapToGrid w:val="0"/>
      <w:jc w:val="left"/>
    </w:pPr>
    <w:rPr>
      <w:sz w:val="18"/>
      <w:szCs w:val="18"/>
    </w:rPr>
  </w:style>
  <w:style w:type="paragraph" w:styleId="11">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toc 2"/>
    <w:basedOn w:val="1"/>
    <w:next w:val="1"/>
    <w:semiHidden/>
    <w:qFormat/>
    <w:uiPriority w:val="0"/>
    <w:pPr>
      <w:ind w:left="420" w:leftChars="200"/>
    </w:p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qFormat/>
    <w:uiPriority w:val="0"/>
    <w:rPr>
      <w:color w:val="0000FF"/>
      <w:u w:val="single"/>
    </w:rPr>
  </w:style>
  <w:style w:type="character" w:customStyle="1" w:styleId="18">
    <w:name w:val="标题 1 Char"/>
    <w:qFormat/>
    <w:uiPriority w:val="0"/>
    <w:rPr>
      <w:rFonts w:ascii="Times New Roman" w:hAnsi="Times New Roman" w:eastAsia="宋体"/>
      <w:b/>
      <w:kern w:val="44"/>
      <w:sz w:val="44"/>
    </w:rPr>
  </w:style>
  <w:style w:type="paragraph" w:customStyle="1" w:styleId="19">
    <w:name w:val="Heading 3_0"/>
    <w:basedOn w:val="20"/>
    <w:next w:val="20"/>
    <w:qFormat/>
    <w:uiPriority w:val="0"/>
    <w:pPr>
      <w:keepNext/>
      <w:spacing w:before="240" w:after="60"/>
      <w:outlineLvl w:val="2"/>
    </w:pPr>
    <w:rPr>
      <w:rFonts w:ascii="Arial" w:hAnsi="Arial" w:cs="Arial"/>
      <w:b/>
      <w:bCs/>
      <w:sz w:val="26"/>
      <w:szCs w:val="26"/>
    </w:rPr>
  </w:style>
  <w:style w:type="paragraph" w:customStyle="1" w:styleId="20">
    <w:name w:val="Normal_5"/>
    <w:qFormat/>
    <w:uiPriority w:val="0"/>
    <w:rPr>
      <w:rFonts w:ascii="Calibri" w:hAnsi="Calibri" w:eastAsia="宋体" w:cs="Times New Roman"/>
      <w:sz w:val="24"/>
      <w:szCs w:val="24"/>
      <w:lang w:val="en-US" w:eastAsia="zh-CN" w:bidi="ar-SA"/>
    </w:rPr>
  </w:style>
  <w:style w:type="character" w:customStyle="1" w:styleId="21">
    <w:name w:val="页眉 Char"/>
    <w:basedOn w:val="16"/>
    <w:link w:val="11"/>
    <w:qFormat/>
    <w:uiPriority w:val="0"/>
    <w:rPr>
      <w:kern w:val="2"/>
      <w:sz w:val="18"/>
      <w:szCs w:val="18"/>
    </w:rPr>
  </w:style>
  <w:style w:type="character" w:customStyle="1" w:styleId="22">
    <w:name w:val="页脚 Char"/>
    <w:basedOn w:val="16"/>
    <w:link w:val="10"/>
    <w:qFormat/>
    <w:uiPriority w:val="99"/>
    <w:rPr>
      <w:kern w:val="2"/>
      <w:sz w:val="18"/>
      <w:szCs w:val="18"/>
    </w:rPr>
  </w:style>
  <w:style w:type="character" w:customStyle="1" w:styleId="23">
    <w:name w:val="日期 Char"/>
    <w:basedOn w:val="16"/>
    <w:link w:val="8"/>
    <w:qFormat/>
    <w:uiPriority w:val="0"/>
    <w:rPr>
      <w:rFonts w:eastAsia="仿宋_GB2312"/>
      <w:kern w:val="2"/>
      <w:sz w:val="3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3861</Words>
  <Characters>4012</Characters>
  <Lines>32</Lines>
  <Paragraphs>9</Paragraphs>
  <TotalTime>2</TotalTime>
  <ScaleCrop>false</ScaleCrop>
  <LinksUpToDate>false</LinksUpToDate>
  <CharactersWithSpaces>4102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2022-03-26T07:57:00Z</dcterms:created>
  <dc:creator>Administrator</dc:creator>
  <cp:lastModifiedBy>烏雲</cp:lastModifiedBy>
  <cp:lastPrinted>2023-07-10T08:03:35Z</cp:lastPrinted>
  <dcterms:modified xsi:type="dcterms:W3CDTF">2023-07-10T08:05:12Z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2B6A6726195C41B689991FA11BDB3FDE_13</vt:lpwstr>
  </property>
</Properties>
</file>